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0586" w14:textId="0220A73E" w:rsidR="00E30E99" w:rsidRDefault="00E30E99">
      <w:pPr>
        <w:tabs>
          <w:tab w:val="left" w:pos="670"/>
        </w:tabs>
        <w:ind w:left="669" w:hanging="270"/>
      </w:pPr>
    </w:p>
    <w:p w14:paraId="39BCB8A9" w14:textId="25C9D93D" w:rsidR="00E30E99" w:rsidRPr="00E30E99" w:rsidRDefault="00E30E99" w:rsidP="00691BD8">
      <w:pPr>
        <w:tabs>
          <w:tab w:val="left" w:pos="670"/>
        </w:tabs>
        <w:ind w:left="669" w:hanging="270"/>
        <w:jc w:val="center"/>
        <w:rPr>
          <w:b/>
          <w:bCs/>
          <w:sz w:val="32"/>
          <w:szCs w:val="32"/>
        </w:rPr>
      </w:pPr>
      <w:r w:rsidRPr="00E30E99">
        <w:rPr>
          <w:b/>
          <w:bCs/>
          <w:sz w:val="32"/>
          <w:szCs w:val="32"/>
        </w:rPr>
        <w:t>Appe</w:t>
      </w:r>
      <w:r>
        <w:rPr>
          <w:b/>
          <w:bCs/>
          <w:sz w:val="32"/>
          <w:szCs w:val="32"/>
        </w:rPr>
        <w:t>n</w:t>
      </w:r>
      <w:r w:rsidRPr="00E30E99">
        <w:rPr>
          <w:b/>
          <w:bCs/>
          <w:sz w:val="32"/>
          <w:szCs w:val="32"/>
        </w:rPr>
        <w:t>dix A</w:t>
      </w:r>
    </w:p>
    <w:p w14:paraId="1236C807" w14:textId="18E7E647" w:rsidR="00E30E99" w:rsidRPr="009D372B" w:rsidRDefault="009D372B" w:rsidP="009D372B">
      <w:pPr>
        <w:tabs>
          <w:tab w:val="left" w:pos="670"/>
        </w:tabs>
        <w:ind w:left="669" w:hanging="270"/>
        <w:jc w:val="center"/>
        <w:rPr>
          <w:b/>
          <w:bCs/>
          <w:sz w:val="28"/>
          <w:szCs w:val="28"/>
        </w:rPr>
      </w:pPr>
      <w:r w:rsidRPr="009D372B">
        <w:rPr>
          <w:b/>
          <w:bCs/>
          <w:sz w:val="28"/>
          <w:szCs w:val="28"/>
        </w:rPr>
        <w:t xml:space="preserve">Regional </w:t>
      </w:r>
      <w:r w:rsidRPr="009D372B">
        <w:rPr>
          <w:b/>
          <w:bCs/>
          <w:sz w:val="28"/>
          <w:szCs w:val="28"/>
        </w:rPr>
        <w:t xml:space="preserve">Baseline Dumpster Data </w:t>
      </w:r>
    </w:p>
    <w:p w14:paraId="20A162E3" w14:textId="77777777" w:rsidR="009D372B" w:rsidRDefault="009D372B" w:rsidP="00E30E99">
      <w:pPr>
        <w:pStyle w:val="Heading1"/>
        <w:tabs>
          <w:tab w:val="left" w:pos="670"/>
          <w:tab w:val="center" w:pos="5884"/>
        </w:tabs>
      </w:pPr>
    </w:p>
    <w:p w14:paraId="46DB12E1" w14:textId="1A2F38C3" w:rsidR="00CA70D2" w:rsidRPr="009D372B" w:rsidRDefault="00E30E99" w:rsidP="00E30E99">
      <w:pPr>
        <w:pStyle w:val="Heading1"/>
        <w:tabs>
          <w:tab w:val="left" w:pos="670"/>
          <w:tab w:val="center" w:pos="5884"/>
        </w:tabs>
        <w:rPr>
          <w:sz w:val="24"/>
          <w:szCs w:val="24"/>
        </w:rPr>
      </w:pPr>
      <w:r w:rsidRPr="009D372B">
        <w:rPr>
          <w:sz w:val="24"/>
          <w:szCs w:val="24"/>
        </w:rPr>
        <w:t xml:space="preserve"> l. Baseline Dumpster Data </w:t>
      </w:r>
      <w:r w:rsidR="00691BD8" w:rsidRPr="009D372B">
        <w:rPr>
          <w:sz w:val="24"/>
          <w:szCs w:val="24"/>
        </w:rPr>
        <w:t>Summary</w:t>
      </w:r>
      <w:r w:rsidRPr="009D372B">
        <w:rPr>
          <w:sz w:val="24"/>
          <w:szCs w:val="24"/>
        </w:rPr>
        <w:tab/>
      </w:r>
    </w:p>
    <w:p w14:paraId="5D700971" w14:textId="4DFBEA31" w:rsidR="00CA70D2" w:rsidRDefault="00691BD8">
      <w:pPr>
        <w:pStyle w:val="BodyText"/>
        <w:spacing w:before="189" w:line="259" w:lineRule="auto"/>
        <w:ind w:left="400" w:right="325"/>
      </w:pPr>
      <w:r>
        <w:t xml:space="preserve">Dumpster audit data was available from six jurisdictions: Bellevue, Bothell, Federal Way, Kirkland, Redmond, and Sammamish. </w:t>
      </w:r>
      <w:r w:rsidR="00747E4A">
        <w:t>All d</w:t>
      </w:r>
      <w:r>
        <w:t>ata collected between 2015 and 2019. Audits inspected 451 total dumpsters. Lid status information was collected from 373 dumpsters, container leaking/damaged information was collected from 391 dumpsters, and a dumpster site condition rating was given to 147 dumpsters in Bellevue and Sammamish</w:t>
      </w:r>
      <w:r w:rsidR="003E6917">
        <w:t>,</w:t>
      </w:r>
      <w:r>
        <w:t xml:space="preserve"> using </w:t>
      </w:r>
      <w:r w:rsidR="003E6917">
        <w:t xml:space="preserve">the </w:t>
      </w:r>
      <w:r>
        <w:t>City of Bellevue’s 2017 audit methodology.</w:t>
      </w:r>
    </w:p>
    <w:p w14:paraId="2E272DBC" w14:textId="77777777" w:rsidR="00CA70D2" w:rsidRDefault="00691BD8">
      <w:pPr>
        <w:pStyle w:val="BodyText"/>
        <w:spacing w:before="158"/>
        <w:ind w:left="400"/>
      </w:pPr>
      <w:r>
        <w:t>A summary of the data reveals that:</w:t>
      </w:r>
    </w:p>
    <w:p w14:paraId="30125E8A" w14:textId="77777777" w:rsidR="00CA70D2" w:rsidRDefault="00691BD8">
      <w:pPr>
        <w:pStyle w:val="ListParagraph"/>
        <w:numPr>
          <w:ilvl w:val="1"/>
          <w:numId w:val="1"/>
        </w:numPr>
        <w:tabs>
          <w:tab w:val="left" w:pos="1120"/>
          <w:tab w:val="left" w:pos="1121"/>
        </w:tabs>
        <w:spacing w:before="180"/>
        <w:ind w:hanging="361"/>
      </w:pPr>
      <w:r>
        <w:t>Of the 373 dumpsters where lid status was noted, 128 lids (34%) were open or</w:t>
      </w:r>
      <w:r>
        <w:rPr>
          <w:spacing w:val="-16"/>
        </w:rPr>
        <w:t xml:space="preserve"> </w:t>
      </w:r>
      <w:r>
        <w:t>missing.</w:t>
      </w:r>
    </w:p>
    <w:p w14:paraId="4BC1946C" w14:textId="77777777" w:rsidR="00CA70D2" w:rsidRDefault="00691BD8">
      <w:pPr>
        <w:pStyle w:val="ListParagraph"/>
        <w:numPr>
          <w:ilvl w:val="1"/>
          <w:numId w:val="1"/>
        </w:numPr>
        <w:tabs>
          <w:tab w:val="left" w:pos="1119"/>
          <w:tab w:val="left" w:pos="1121"/>
        </w:tabs>
        <w:spacing w:before="22" w:line="259" w:lineRule="auto"/>
        <w:ind w:right="506"/>
      </w:pPr>
      <w:r>
        <w:t>Of the 391 dumpsters where container leaking/damaged information was collected, 47 containers (12%) were observed to be damaged or</w:t>
      </w:r>
      <w:r>
        <w:rPr>
          <w:spacing w:val="-2"/>
        </w:rPr>
        <w:t xml:space="preserve"> </w:t>
      </w:r>
      <w:r>
        <w:t>leaking.</w:t>
      </w:r>
    </w:p>
    <w:p w14:paraId="5C67C73A" w14:textId="54542BD9" w:rsidR="00CA70D2" w:rsidRDefault="00691BD8">
      <w:pPr>
        <w:pStyle w:val="ListParagraph"/>
        <w:numPr>
          <w:ilvl w:val="1"/>
          <w:numId w:val="1"/>
        </w:numPr>
        <w:tabs>
          <w:tab w:val="left" w:pos="1119"/>
          <w:tab w:val="left" w:pos="1121"/>
        </w:tabs>
        <w:spacing w:line="259" w:lineRule="auto"/>
        <w:ind w:right="340"/>
      </w:pPr>
      <w:r>
        <w:t>The average dumpster site condition given to the 147 dumpsters evaluated in Bellevue and Sammamish was 1.7 (scale of 1 to 3). Summary data reported in Table 1.1</w:t>
      </w:r>
      <w:r>
        <w:rPr>
          <w:spacing w:val="-10"/>
        </w:rPr>
        <w:t xml:space="preserve"> </w:t>
      </w:r>
      <w:r>
        <w:t>below.</w:t>
      </w:r>
    </w:p>
    <w:p w14:paraId="1452EDAA" w14:textId="58B4FC9D" w:rsidR="00CA70D2" w:rsidRDefault="00691BD8">
      <w:pPr>
        <w:pStyle w:val="BodyText"/>
        <w:spacing w:before="160" w:line="259" w:lineRule="auto"/>
        <w:ind w:left="400" w:right="833"/>
      </w:pPr>
      <w:r>
        <w:t xml:space="preserve">Data </w:t>
      </w:r>
      <w:r w:rsidR="003E6917">
        <w:t xml:space="preserve">was </w:t>
      </w:r>
      <w:r>
        <w:t>analyzed to explore pollution by business type, use by single or multiple businesses, presence of proper labels, lid status and container status. Key findings include:</w:t>
      </w:r>
    </w:p>
    <w:p w14:paraId="4C745452" w14:textId="77777777" w:rsidR="00CA70D2" w:rsidRDefault="00691BD8">
      <w:pPr>
        <w:pStyle w:val="ListParagraph"/>
        <w:numPr>
          <w:ilvl w:val="1"/>
          <w:numId w:val="1"/>
        </w:numPr>
        <w:tabs>
          <w:tab w:val="left" w:pos="1119"/>
          <w:tab w:val="left" w:pos="1120"/>
        </w:tabs>
        <w:spacing w:before="158" w:line="259" w:lineRule="auto"/>
        <w:ind w:left="1119" w:right="407"/>
      </w:pPr>
      <w:r>
        <w:t>No statistically significant differences emerged based on business type. However, automotive businesses were slightly</w:t>
      </w:r>
      <w:r>
        <w:rPr>
          <w:spacing w:val="-4"/>
        </w:rPr>
        <w:t xml:space="preserve"> </w:t>
      </w:r>
      <w:r>
        <w:t>more</w:t>
      </w:r>
      <w:r>
        <w:rPr>
          <w:spacing w:val="-3"/>
        </w:rPr>
        <w:t xml:space="preserve"> </w:t>
      </w:r>
      <w:r>
        <w:t>likely</w:t>
      </w:r>
      <w:r>
        <w:rPr>
          <w:spacing w:val="-3"/>
        </w:rPr>
        <w:t xml:space="preserve"> </w:t>
      </w:r>
      <w:r>
        <w:t>to</w:t>
      </w:r>
      <w:r>
        <w:rPr>
          <w:spacing w:val="-3"/>
        </w:rPr>
        <w:t xml:space="preserve"> </w:t>
      </w:r>
      <w:r>
        <w:t>have</w:t>
      </w:r>
      <w:r>
        <w:rPr>
          <w:spacing w:val="-3"/>
        </w:rPr>
        <w:t xml:space="preserve"> </w:t>
      </w:r>
      <w:r>
        <w:t>lids</w:t>
      </w:r>
      <w:r>
        <w:rPr>
          <w:spacing w:val="-4"/>
        </w:rPr>
        <w:t xml:space="preserve"> </w:t>
      </w:r>
      <w:r>
        <w:t>open,</w:t>
      </w:r>
      <w:r>
        <w:rPr>
          <w:spacing w:val="-4"/>
        </w:rPr>
        <w:t xml:space="preserve"> </w:t>
      </w:r>
      <w:r>
        <w:t>while</w:t>
      </w:r>
      <w:r>
        <w:rPr>
          <w:spacing w:val="-4"/>
        </w:rPr>
        <w:t xml:space="preserve"> </w:t>
      </w:r>
      <w:r>
        <w:t>retail</w:t>
      </w:r>
      <w:r>
        <w:rPr>
          <w:spacing w:val="-4"/>
        </w:rPr>
        <w:t xml:space="preserve"> </w:t>
      </w:r>
      <w:r>
        <w:t>businesses</w:t>
      </w:r>
      <w:r>
        <w:rPr>
          <w:spacing w:val="-4"/>
        </w:rPr>
        <w:t xml:space="preserve"> </w:t>
      </w:r>
      <w:r>
        <w:t>were</w:t>
      </w:r>
      <w:r>
        <w:rPr>
          <w:spacing w:val="-3"/>
        </w:rPr>
        <w:t xml:space="preserve"> </w:t>
      </w:r>
      <w:r>
        <w:t>slightly</w:t>
      </w:r>
      <w:r>
        <w:rPr>
          <w:spacing w:val="-3"/>
        </w:rPr>
        <w:t xml:space="preserve"> </w:t>
      </w:r>
      <w:r>
        <w:t>more</w:t>
      </w:r>
      <w:r>
        <w:rPr>
          <w:spacing w:val="-3"/>
        </w:rPr>
        <w:t xml:space="preserve"> </w:t>
      </w:r>
      <w:r>
        <w:t>likely</w:t>
      </w:r>
      <w:r>
        <w:rPr>
          <w:spacing w:val="-3"/>
        </w:rPr>
        <w:t xml:space="preserve"> </w:t>
      </w:r>
      <w:r>
        <w:t>to</w:t>
      </w:r>
      <w:r>
        <w:rPr>
          <w:spacing w:val="-3"/>
        </w:rPr>
        <w:t xml:space="preserve"> </w:t>
      </w:r>
      <w:r>
        <w:t>have</w:t>
      </w:r>
      <w:r>
        <w:rPr>
          <w:spacing w:val="-3"/>
        </w:rPr>
        <w:t xml:space="preserve"> </w:t>
      </w:r>
      <w:r>
        <w:t>containers</w:t>
      </w:r>
      <w:r>
        <w:rPr>
          <w:spacing w:val="-4"/>
        </w:rPr>
        <w:t xml:space="preserve"> </w:t>
      </w:r>
      <w:r>
        <w:t>free</w:t>
      </w:r>
      <w:r>
        <w:rPr>
          <w:spacing w:val="-4"/>
        </w:rPr>
        <w:t xml:space="preserve"> </w:t>
      </w:r>
      <w:r>
        <w:t>of damage/leaks.</w:t>
      </w:r>
    </w:p>
    <w:p w14:paraId="25D3A528" w14:textId="77777777" w:rsidR="00CA70D2" w:rsidRDefault="00691BD8">
      <w:pPr>
        <w:pStyle w:val="ListParagraph"/>
        <w:numPr>
          <w:ilvl w:val="1"/>
          <w:numId w:val="1"/>
        </w:numPr>
        <w:tabs>
          <w:tab w:val="left" w:pos="1119"/>
          <w:tab w:val="left" w:pos="1120"/>
        </w:tabs>
        <w:spacing w:line="259" w:lineRule="auto"/>
        <w:ind w:left="1119" w:right="767"/>
      </w:pPr>
      <w:r>
        <w:t>Dumpsters used by multiple businesses were significantly more likely to have containers with lids open and containers that were</w:t>
      </w:r>
      <w:r>
        <w:rPr>
          <w:spacing w:val="-1"/>
        </w:rPr>
        <w:t xml:space="preserve"> </w:t>
      </w:r>
      <w:r>
        <w:t>leaking/damaged.</w:t>
      </w:r>
    </w:p>
    <w:p w14:paraId="4373C16E" w14:textId="77777777" w:rsidR="00CA70D2" w:rsidRDefault="00691BD8">
      <w:pPr>
        <w:pStyle w:val="ListParagraph"/>
        <w:numPr>
          <w:ilvl w:val="1"/>
          <w:numId w:val="1"/>
        </w:numPr>
        <w:tabs>
          <w:tab w:val="left" w:pos="1119"/>
          <w:tab w:val="left" w:pos="1120"/>
        </w:tabs>
        <w:spacing w:line="259" w:lineRule="auto"/>
        <w:ind w:left="1119" w:right="936"/>
      </w:pPr>
      <w:r>
        <w:t>Businesses</w:t>
      </w:r>
      <w:r>
        <w:rPr>
          <w:spacing w:val="-5"/>
        </w:rPr>
        <w:t xml:space="preserve"> </w:t>
      </w:r>
      <w:r>
        <w:t>with</w:t>
      </w:r>
      <w:r>
        <w:rPr>
          <w:spacing w:val="-5"/>
        </w:rPr>
        <w:t xml:space="preserve"> </w:t>
      </w:r>
      <w:r>
        <w:t>oil</w:t>
      </w:r>
      <w:r>
        <w:rPr>
          <w:spacing w:val="-3"/>
        </w:rPr>
        <w:t xml:space="preserve"> </w:t>
      </w:r>
      <w:r>
        <w:t>containers</w:t>
      </w:r>
      <w:r>
        <w:rPr>
          <w:spacing w:val="-5"/>
        </w:rPr>
        <w:t xml:space="preserve"> </w:t>
      </w:r>
      <w:r>
        <w:t>were</w:t>
      </w:r>
      <w:r>
        <w:rPr>
          <w:spacing w:val="-4"/>
        </w:rPr>
        <w:t xml:space="preserve"> </w:t>
      </w:r>
      <w:r>
        <w:t>significantly</w:t>
      </w:r>
      <w:r>
        <w:rPr>
          <w:spacing w:val="-4"/>
        </w:rPr>
        <w:t xml:space="preserve"> </w:t>
      </w:r>
      <w:r>
        <w:t>more</w:t>
      </w:r>
      <w:r>
        <w:rPr>
          <w:spacing w:val="-5"/>
        </w:rPr>
        <w:t xml:space="preserve"> </w:t>
      </w:r>
      <w:r>
        <w:t>likely</w:t>
      </w:r>
      <w:r>
        <w:rPr>
          <w:spacing w:val="-3"/>
        </w:rPr>
        <w:t xml:space="preserve"> </w:t>
      </w:r>
      <w:r>
        <w:t>to</w:t>
      </w:r>
      <w:r>
        <w:rPr>
          <w:spacing w:val="-3"/>
        </w:rPr>
        <w:t xml:space="preserve"> </w:t>
      </w:r>
      <w:r>
        <w:t>have</w:t>
      </w:r>
      <w:r>
        <w:rPr>
          <w:spacing w:val="-4"/>
        </w:rPr>
        <w:t xml:space="preserve"> </w:t>
      </w:r>
      <w:r>
        <w:t>leaking/damaged</w:t>
      </w:r>
      <w:r>
        <w:rPr>
          <w:spacing w:val="-4"/>
        </w:rPr>
        <w:t xml:space="preserve"> </w:t>
      </w:r>
      <w:r>
        <w:t>containers</w:t>
      </w:r>
      <w:r>
        <w:rPr>
          <w:spacing w:val="-5"/>
        </w:rPr>
        <w:t xml:space="preserve"> </w:t>
      </w:r>
      <w:r>
        <w:t>and</w:t>
      </w:r>
      <w:r>
        <w:rPr>
          <w:spacing w:val="-3"/>
        </w:rPr>
        <w:t xml:space="preserve"> </w:t>
      </w:r>
      <w:r>
        <w:t>had significantly higher dumpster condition ratings than businesses without oil</w:t>
      </w:r>
      <w:r>
        <w:rPr>
          <w:spacing w:val="-13"/>
        </w:rPr>
        <w:t xml:space="preserve"> </w:t>
      </w:r>
      <w:r>
        <w:t>containers.</w:t>
      </w:r>
    </w:p>
    <w:p w14:paraId="4AD060E4" w14:textId="324BECCD" w:rsidR="00CA70D2" w:rsidRDefault="00691BD8">
      <w:pPr>
        <w:pStyle w:val="ListParagraph"/>
        <w:numPr>
          <w:ilvl w:val="1"/>
          <w:numId w:val="1"/>
        </w:numPr>
        <w:tabs>
          <w:tab w:val="left" w:pos="1119"/>
          <w:tab w:val="left" w:pos="1120"/>
        </w:tabs>
        <w:spacing w:line="259" w:lineRule="auto"/>
        <w:ind w:left="1119" w:right="303"/>
      </w:pPr>
      <w:r>
        <w:t>Businesses with open lids were significantly more likely to have additional water quality concerns based on a 1-3 scale rating</w:t>
      </w:r>
      <w:r w:rsidR="003E6917">
        <w:t>,</w:t>
      </w:r>
      <w:r>
        <w:t xml:space="preserve"> compared to businesses with closed</w:t>
      </w:r>
      <w:r>
        <w:rPr>
          <w:spacing w:val="-5"/>
        </w:rPr>
        <w:t xml:space="preserve"> </w:t>
      </w:r>
      <w:r>
        <w:t>lids.</w:t>
      </w:r>
    </w:p>
    <w:p w14:paraId="3721F30E" w14:textId="77777777" w:rsidR="00CA70D2" w:rsidRPr="003E6917" w:rsidRDefault="00691BD8">
      <w:pPr>
        <w:spacing w:before="158"/>
        <w:ind w:left="399"/>
        <w:rPr>
          <w:b/>
          <w:bCs/>
        </w:rPr>
      </w:pPr>
      <w:r w:rsidRPr="003E6917">
        <w:rPr>
          <w:b/>
          <w:bCs/>
        </w:rPr>
        <w:t>Table 1.1 – Summary dumpster audit data</w:t>
      </w:r>
    </w:p>
    <w:p w14:paraId="2C762CF7" w14:textId="77777777" w:rsidR="00CA70D2" w:rsidRDefault="00CA70D2">
      <w:pPr>
        <w:pStyle w:val="BodyText"/>
        <w:spacing w:before="9"/>
        <w:rPr>
          <w:i/>
          <w:sz w:val="9"/>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65"/>
        <w:gridCol w:w="1456"/>
        <w:gridCol w:w="1484"/>
        <w:gridCol w:w="1678"/>
        <w:gridCol w:w="83"/>
        <w:gridCol w:w="1081"/>
        <w:gridCol w:w="1844"/>
        <w:gridCol w:w="2385"/>
      </w:tblGrid>
      <w:tr w:rsidR="00CA70D2" w14:paraId="0035E140" w14:textId="77777777">
        <w:trPr>
          <w:trHeight w:val="292"/>
        </w:trPr>
        <w:tc>
          <w:tcPr>
            <w:tcW w:w="1165" w:type="dxa"/>
            <w:tcBorders>
              <w:left w:val="single" w:sz="6" w:space="0" w:color="000000"/>
              <w:right w:val="single" w:sz="6" w:space="0" w:color="000000"/>
            </w:tcBorders>
            <w:shd w:val="clear" w:color="auto" w:fill="D9E0F1"/>
          </w:tcPr>
          <w:p w14:paraId="4CA7C124" w14:textId="77777777" w:rsidR="00CA70D2" w:rsidRDefault="00691BD8">
            <w:pPr>
              <w:pStyle w:val="TableParagraph"/>
              <w:spacing w:line="259" w:lineRule="exact"/>
              <w:ind w:left="14"/>
              <w:rPr>
                <w:b/>
                <w:sz w:val="23"/>
              </w:rPr>
            </w:pPr>
            <w:r>
              <w:rPr>
                <w:b/>
                <w:w w:val="90"/>
                <w:sz w:val="23"/>
              </w:rPr>
              <w:t>Jurisdiction</w:t>
            </w:r>
          </w:p>
        </w:tc>
        <w:tc>
          <w:tcPr>
            <w:tcW w:w="1456" w:type="dxa"/>
            <w:tcBorders>
              <w:left w:val="single" w:sz="6" w:space="0" w:color="000000"/>
              <w:right w:val="single" w:sz="6" w:space="0" w:color="000000"/>
            </w:tcBorders>
            <w:shd w:val="clear" w:color="auto" w:fill="D9E0F1"/>
          </w:tcPr>
          <w:p w14:paraId="5AA971DF" w14:textId="77777777" w:rsidR="00CA70D2" w:rsidRDefault="00691BD8">
            <w:pPr>
              <w:pStyle w:val="TableParagraph"/>
              <w:spacing w:line="259" w:lineRule="exact"/>
              <w:ind w:left="7" w:right="19"/>
              <w:rPr>
                <w:b/>
                <w:sz w:val="23"/>
              </w:rPr>
            </w:pPr>
            <w:r>
              <w:rPr>
                <w:b/>
                <w:w w:val="95"/>
                <w:sz w:val="23"/>
              </w:rPr>
              <w:t># of Businesses</w:t>
            </w:r>
          </w:p>
        </w:tc>
        <w:tc>
          <w:tcPr>
            <w:tcW w:w="1484" w:type="dxa"/>
            <w:tcBorders>
              <w:left w:val="single" w:sz="6" w:space="0" w:color="000000"/>
              <w:right w:val="single" w:sz="6" w:space="0" w:color="000000"/>
            </w:tcBorders>
            <w:shd w:val="clear" w:color="auto" w:fill="D9E0F1"/>
          </w:tcPr>
          <w:p w14:paraId="31825227" w14:textId="77777777" w:rsidR="00CA70D2" w:rsidRDefault="00691BD8">
            <w:pPr>
              <w:pStyle w:val="TableParagraph"/>
              <w:spacing w:line="259" w:lineRule="exact"/>
              <w:ind w:left="36" w:right="9"/>
              <w:rPr>
                <w:b/>
                <w:sz w:val="23"/>
              </w:rPr>
            </w:pPr>
            <w:r>
              <w:rPr>
                <w:b/>
                <w:w w:val="95"/>
                <w:sz w:val="23"/>
              </w:rPr>
              <w:t>#</w:t>
            </w:r>
            <w:r>
              <w:rPr>
                <w:b/>
                <w:spacing w:val="-28"/>
                <w:w w:val="95"/>
                <w:sz w:val="23"/>
              </w:rPr>
              <w:t xml:space="preserve"> </w:t>
            </w:r>
            <w:r>
              <w:rPr>
                <w:b/>
                <w:w w:val="95"/>
                <w:sz w:val="23"/>
              </w:rPr>
              <w:t>With</w:t>
            </w:r>
            <w:r>
              <w:rPr>
                <w:b/>
                <w:spacing w:val="-24"/>
                <w:w w:val="95"/>
                <w:sz w:val="23"/>
              </w:rPr>
              <w:t xml:space="preserve"> </w:t>
            </w:r>
            <w:r>
              <w:rPr>
                <w:b/>
                <w:w w:val="95"/>
                <w:sz w:val="23"/>
              </w:rPr>
              <w:t>Lid</w:t>
            </w:r>
            <w:r>
              <w:rPr>
                <w:b/>
                <w:spacing w:val="-23"/>
                <w:w w:val="95"/>
                <w:sz w:val="23"/>
              </w:rPr>
              <w:t xml:space="preserve"> </w:t>
            </w:r>
            <w:r>
              <w:rPr>
                <w:b/>
                <w:w w:val="95"/>
                <w:sz w:val="23"/>
              </w:rPr>
              <w:t>Open</w:t>
            </w:r>
          </w:p>
        </w:tc>
        <w:tc>
          <w:tcPr>
            <w:tcW w:w="1678" w:type="dxa"/>
            <w:tcBorders>
              <w:left w:val="single" w:sz="6" w:space="0" w:color="000000"/>
              <w:right w:val="single" w:sz="6" w:space="0" w:color="000000"/>
            </w:tcBorders>
            <w:shd w:val="clear" w:color="auto" w:fill="D9E0F1"/>
          </w:tcPr>
          <w:p w14:paraId="6F966959" w14:textId="77777777" w:rsidR="00CA70D2" w:rsidRDefault="00691BD8">
            <w:pPr>
              <w:pStyle w:val="TableParagraph"/>
              <w:spacing w:line="259" w:lineRule="exact"/>
              <w:ind w:left="12"/>
              <w:rPr>
                <w:b/>
                <w:sz w:val="23"/>
              </w:rPr>
            </w:pPr>
            <w:r>
              <w:rPr>
                <w:b/>
                <w:w w:val="95"/>
                <w:sz w:val="23"/>
              </w:rPr>
              <w:t>Percent Lids Open</w:t>
            </w:r>
          </w:p>
        </w:tc>
        <w:tc>
          <w:tcPr>
            <w:tcW w:w="83" w:type="dxa"/>
            <w:tcBorders>
              <w:left w:val="single" w:sz="6" w:space="0" w:color="000000"/>
              <w:right w:val="single" w:sz="6" w:space="0" w:color="000000"/>
            </w:tcBorders>
            <w:shd w:val="clear" w:color="auto" w:fill="D9E0F1"/>
          </w:tcPr>
          <w:p w14:paraId="78546A99" w14:textId="77777777" w:rsidR="00CA70D2" w:rsidRDefault="00CA70D2">
            <w:pPr>
              <w:pStyle w:val="TableParagraph"/>
              <w:spacing w:before="0" w:line="240" w:lineRule="auto"/>
              <w:jc w:val="left"/>
              <w:rPr>
                <w:rFonts w:ascii="Times New Roman"/>
                <w:sz w:val="20"/>
              </w:rPr>
            </w:pPr>
          </w:p>
        </w:tc>
        <w:tc>
          <w:tcPr>
            <w:tcW w:w="1081" w:type="dxa"/>
            <w:tcBorders>
              <w:left w:val="single" w:sz="6" w:space="0" w:color="000000"/>
              <w:right w:val="single" w:sz="6" w:space="0" w:color="000000"/>
            </w:tcBorders>
            <w:shd w:val="clear" w:color="auto" w:fill="D9E0F1"/>
          </w:tcPr>
          <w:p w14:paraId="598A65BE" w14:textId="77777777" w:rsidR="00CA70D2" w:rsidRDefault="00691BD8">
            <w:pPr>
              <w:pStyle w:val="TableParagraph"/>
              <w:spacing w:line="259" w:lineRule="exact"/>
              <w:ind w:left="13"/>
              <w:rPr>
                <w:b/>
                <w:sz w:val="23"/>
              </w:rPr>
            </w:pPr>
            <w:r>
              <w:rPr>
                <w:b/>
                <w:w w:val="95"/>
                <w:sz w:val="23"/>
              </w:rPr>
              <w:t># Inspected</w:t>
            </w:r>
          </w:p>
        </w:tc>
        <w:tc>
          <w:tcPr>
            <w:tcW w:w="1844" w:type="dxa"/>
            <w:tcBorders>
              <w:left w:val="single" w:sz="6" w:space="0" w:color="000000"/>
              <w:right w:val="single" w:sz="6" w:space="0" w:color="000000"/>
            </w:tcBorders>
            <w:shd w:val="clear" w:color="auto" w:fill="D9E0F1"/>
          </w:tcPr>
          <w:p w14:paraId="2D6E1519" w14:textId="77777777" w:rsidR="00CA70D2" w:rsidRDefault="00691BD8">
            <w:pPr>
              <w:pStyle w:val="TableParagraph"/>
              <w:spacing w:line="259" w:lineRule="exact"/>
              <w:ind w:left="28" w:right="52"/>
              <w:rPr>
                <w:b/>
                <w:sz w:val="23"/>
              </w:rPr>
            </w:pPr>
            <w:r>
              <w:rPr>
                <w:b/>
                <w:w w:val="90"/>
                <w:sz w:val="23"/>
              </w:rPr>
              <w:t># Leaking/Damaged</w:t>
            </w:r>
          </w:p>
        </w:tc>
        <w:tc>
          <w:tcPr>
            <w:tcW w:w="2385" w:type="dxa"/>
            <w:tcBorders>
              <w:left w:val="single" w:sz="6" w:space="0" w:color="000000"/>
              <w:right w:val="single" w:sz="6" w:space="0" w:color="000000"/>
            </w:tcBorders>
            <w:shd w:val="clear" w:color="auto" w:fill="D9E0F1"/>
          </w:tcPr>
          <w:p w14:paraId="732C2936" w14:textId="77777777" w:rsidR="00CA70D2" w:rsidRDefault="00691BD8">
            <w:pPr>
              <w:pStyle w:val="TableParagraph"/>
              <w:spacing w:line="259" w:lineRule="exact"/>
              <w:ind w:left="48" w:right="14"/>
              <w:rPr>
                <w:b/>
                <w:sz w:val="23"/>
              </w:rPr>
            </w:pPr>
            <w:r>
              <w:rPr>
                <w:b/>
                <w:w w:val="90"/>
                <w:sz w:val="23"/>
              </w:rPr>
              <w:t>Percent Leaking/Damaged</w:t>
            </w:r>
          </w:p>
        </w:tc>
      </w:tr>
      <w:tr w:rsidR="00CA70D2" w14:paraId="6F148BB7" w14:textId="77777777">
        <w:trPr>
          <w:trHeight w:val="292"/>
        </w:trPr>
        <w:tc>
          <w:tcPr>
            <w:tcW w:w="1165" w:type="dxa"/>
            <w:tcBorders>
              <w:left w:val="single" w:sz="6" w:space="0" w:color="000000"/>
              <w:right w:val="single" w:sz="6" w:space="0" w:color="000000"/>
            </w:tcBorders>
          </w:tcPr>
          <w:p w14:paraId="2E0F05A1" w14:textId="77777777" w:rsidR="00CA70D2" w:rsidRDefault="00691BD8">
            <w:pPr>
              <w:pStyle w:val="TableParagraph"/>
              <w:spacing w:line="259" w:lineRule="exact"/>
              <w:ind w:left="5"/>
              <w:rPr>
                <w:sz w:val="23"/>
              </w:rPr>
            </w:pPr>
            <w:r>
              <w:rPr>
                <w:sz w:val="23"/>
              </w:rPr>
              <w:t>Bellevue</w:t>
            </w:r>
          </w:p>
        </w:tc>
        <w:tc>
          <w:tcPr>
            <w:tcW w:w="1456" w:type="dxa"/>
            <w:tcBorders>
              <w:left w:val="single" w:sz="6" w:space="0" w:color="000000"/>
              <w:right w:val="single" w:sz="6" w:space="0" w:color="000000"/>
            </w:tcBorders>
          </w:tcPr>
          <w:p w14:paraId="1157BFDE" w14:textId="77777777" w:rsidR="00CA70D2" w:rsidRDefault="00691BD8">
            <w:pPr>
              <w:pStyle w:val="TableParagraph"/>
              <w:spacing w:line="259" w:lineRule="exact"/>
              <w:ind w:left="46" w:right="19"/>
              <w:rPr>
                <w:sz w:val="23"/>
              </w:rPr>
            </w:pPr>
            <w:r>
              <w:rPr>
                <w:sz w:val="23"/>
              </w:rPr>
              <w:t>111</w:t>
            </w:r>
          </w:p>
        </w:tc>
        <w:tc>
          <w:tcPr>
            <w:tcW w:w="1484" w:type="dxa"/>
            <w:tcBorders>
              <w:left w:val="single" w:sz="6" w:space="0" w:color="000000"/>
              <w:right w:val="single" w:sz="6" w:space="0" w:color="000000"/>
            </w:tcBorders>
          </w:tcPr>
          <w:p w14:paraId="6E68695C" w14:textId="77777777" w:rsidR="00CA70D2" w:rsidRDefault="00691BD8">
            <w:pPr>
              <w:pStyle w:val="TableParagraph"/>
              <w:spacing w:line="259" w:lineRule="exact"/>
              <w:ind w:left="22" w:right="9"/>
              <w:rPr>
                <w:sz w:val="23"/>
              </w:rPr>
            </w:pPr>
            <w:r>
              <w:rPr>
                <w:sz w:val="23"/>
              </w:rPr>
              <w:t>28</w:t>
            </w:r>
          </w:p>
        </w:tc>
        <w:tc>
          <w:tcPr>
            <w:tcW w:w="1678" w:type="dxa"/>
            <w:tcBorders>
              <w:left w:val="single" w:sz="6" w:space="0" w:color="000000"/>
              <w:right w:val="single" w:sz="6" w:space="0" w:color="000000"/>
            </w:tcBorders>
          </w:tcPr>
          <w:p w14:paraId="369ED3BA" w14:textId="77777777" w:rsidR="00CA70D2" w:rsidRDefault="00691BD8">
            <w:pPr>
              <w:pStyle w:val="TableParagraph"/>
              <w:spacing w:line="259" w:lineRule="exact"/>
              <w:ind w:left="14"/>
              <w:rPr>
                <w:sz w:val="23"/>
              </w:rPr>
            </w:pPr>
            <w:r>
              <w:rPr>
                <w:sz w:val="23"/>
              </w:rPr>
              <w:t>25%</w:t>
            </w:r>
          </w:p>
        </w:tc>
        <w:tc>
          <w:tcPr>
            <w:tcW w:w="83" w:type="dxa"/>
            <w:tcBorders>
              <w:top w:val="nil"/>
              <w:left w:val="nil"/>
              <w:bottom w:val="nil"/>
              <w:right w:val="nil"/>
            </w:tcBorders>
            <w:shd w:val="clear" w:color="auto" w:fill="000000"/>
          </w:tcPr>
          <w:p w14:paraId="062D503B" w14:textId="77777777" w:rsidR="00CA70D2" w:rsidRDefault="00CA70D2">
            <w:pPr>
              <w:pStyle w:val="TableParagraph"/>
              <w:spacing w:before="0" w:line="240" w:lineRule="auto"/>
              <w:jc w:val="left"/>
              <w:rPr>
                <w:rFonts w:ascii="Times New Roman"/>
                <w:sz w:val="20"/>
              </w:rPr>
            </w:pPr>
          </w:p>
        </w:tc>
        <w:tc>
          <w:tcPr>
            <w:tcW w:w="1081" w:type="dxa"/>
            <w:tcBorders>
              <w:left w:val="single" w:sz="6" w:space="0" w:color="000000"/>
              <w:right w:val="single" w:sz="6" w:space="0" w:color="000000"/>
            </w:tcBorders>
          </w:tcPr>
          <w:p w14:paraId="136B89C1" w14:textId="77777777" w:rsidR="00CA70D2" w:rsidRDefault="00691BD8">
            <w:pPr>
              <w:pStyle w:val="TableParagraph"/>
              <w:spacing w:line="259" w:lineRule="exact"/>
              <w:ind w:left="13"/>
              <w:rPr>
                <w:sz w:val="23"/>
              </w:rPr>
            </w:pPr>
            <w:r>
              <w:rPr>
                <w:sz w:val="23"/>
              </w:rPr>
              <w:t>111</w:t>
            </w:r>
          </w:p>
        </w:tc>
        <w:tc>
          <w:tcPr>
            <w:tcW w:w="1844" w:type="dxa"/>
            <w:tcBorders>
              <w:left w:val="single" w:sz="6" w:space="0" w:color="000000"/>
              <w:right w:val="single" w:sz="6" w:space="0" w:color="000000"/>
            </w:tcBorders>
          </w:tcPr>
          <w:p w14:paraId="1F906BEF" w14:textId="77777777" w:rsidR="00CA70D2" w:rsidRDefault="00691BD8">
            <w:pPr>
              <w:pStyle w:val="TableParagraph"/>
              <w:spacing w:line="259" w:lineRule="exact"/>
              <w:ind w:left="28" w:right="14"/>
              <w:rPr>
                <w:sz w:val="23"/>
              </w:rPr>
            </w:pPr>
            <w:r>
              <w:rPr>
                <w:sz w:val="23"/>
              </w:rPr>
              <w:t>14</w:t>
            </w:r>
          </w:p>
        </w:tc>
        <w:tc>
          <w:tcPr>
            <w:tcW w:w="2385" w:type="dxa"/>
            <w:tcBorders>
              <w:left w:val="single" w:sz="6" w:space="0" w:color="000000"/>
              <w:right w:val="single" w:sz="6" w:space="0" w:color="000000"/>
            </w:tcBorders>
          </w:tcPr>
          <w:p w14:paraId="028979DC" w14:textId="77777777" w:rsidR="00CA70D2" w:rsidRDefault="00691BD8">
            <w:pPr>
              <w:pStyle w:val="TableParagraph"/>
              <w:spacing w:line="259" w:lineRule="exact"/>
              <w:ind w:left="16" w:right="14"/>
              <w:rPr>
                <w:sz w:val="23"/>
              </w:rPr>
            </w:pPr>
            <w:r>
              <w:rPr>
                <w:sz w:val="23"/>
              </w:rPr>
              <w:t>13%</w:t>
            </w:r>
          </w:p>
        </w:tc>
      </w:tr>
      <w:tr w:rsidR="00CA70D2" w14:paraId="0D215C24" w14:textId="77777777">
        <w:trPr>
          <w:trHeight w:val="292"/>
        </w:trPr>
        <w:tc>
          <w:tcPr>
            <w:tcW w:w="1165" w:type="dxa"/>
            <w:tcBorders>
              <w:left w:val="single" w:sz="6" w:space="0" w:color="000000"/>
              <w:right w:val="single" w:sz="6" w:space="0" w:color="000000"/>
            </w:tcBorders>
            <w:shd w:val="clear" w:color="auto" w:fill="F1F1F1"/>
          </w:tcPr>
          <w:p w14:paraId="0240DE6D" w14:textId="77777777" w:rsidR="00CA70D2" w:rsidRDefault="00691BD8">
            <w:pPr>
              <w:pStyle w:val="TableParagraph"/>
              <w:ind w:left="5"/>
              <w:rPr>
                <w:sz w:val="23"/>
              </w:rPr>
            </w:pPr>
            <w:r>
              <w:rPr>
                <w:sz w:val="23"/>
              </w:rPr>
              <w:t>Bothell</w:t>
            </w:r>
          </w:p>
        </w:tc>
        <w:tc>
          <w:tcPr>
            <w:tcW w:w="1456" w:type="dxa"/>
            <w:tcBorders>
              <w:left w:val="single" w:sz="6" w:space="0" w:color="000000"/>
              <w:right w:val="single" w:sz="6" w:space="0" w:color="000000"/>
            </w:tcBorders>
            <w:shd w:val="clear" w:color="auto" w:fill="F1F1F1"/>
          </w:tcPr>
          <w:p w14:paraId="0DA1B838" w14:textId="77777777" w:rsidR="00CA70D2" w:rsidRDefault="00691BD8">
            <w:pPr>
              <w:pStyle w:val="TableParagraph"/>
              <w:ind w:left="46" w:right="19"/>
              <w:rPr>
                <w:sz w:val="23"/>
              </w:rPr>
            </w:pPr>
            <w:r>
              <w:rPr>
                <w:sz w:val="23"/>
              </w:rPr>
              <w:t>102</w:t>
            </w:r>
          </w:p>
        </w:tc>
        <w:tc>
          <w:tcPr>
            <w:tcW w:w="1484" w:type="dxa"/>
            <w:tcBorders>
              <w:left w:val="single" w:sz="6" w:space="0" w:color="000000"/>
              <w:right w:val="single" w:sz="6" w:space="0" w:color="000000"/>
            </w:tcBorders>
            <w:shd w:val="clear" w:color="auto" w:fill="F1F1F1"/>
          </w:tcPr>
          <w:p w14:paraId="1024EDCD" w14:textId="77777777" w:rsidR="00CA70D2" w:rsidRDefault="00691BD8">
            <w:pPr>
              <w:pStyle w:val="TableParagraph"/>
              <w:ind w:left="22" w:right="9"/>
              <w:rPr>
                <w:sz w:val="23"/>
              </w:rPr>
            </w:pPr>
            <w:r>
              <w:rPr>
                <w:sz w:val="23"/>
              </w:rPr>
              <w:t>35</w:t>
            </w:r>
          </w:p>
        </w:tc>
        <w:tc>
          <w:tcPr>
            <w:tcW w:w="1678" w:type="dxa"/>
            <w:tcBorders>
              <w:left w:val="single" w:sz="6" w:space="0" w:color="000000"/>
              <w:right w:val="single" w:sz="6" w:space="0" w:color="000000"/>
            </w:tcBorders>
            <w:shd w:val="clear" w:color="auto" w:fill="F1F1F1"/>
          </w:tcPr>
          <w:p w14:paraId="73C39774" w14:textId="77777777" w:rsidR="00CA70D2" w:rsidRDefault="00691BD8">
            <w:pPr>
              <w:pStyle w:val="TableParagraph"/>
              <w:ind w:left="14"/>
              <w:rPr>
                <w:sz w:val="23"/>
              </w:rPr>
            </w:pPr>
            <w:r>
              <w:rPr>
                <w:sz w:val="23"/>
              </w:rPr>
              <w:t>34%</w:t>
            </w:r>
          </w:p>
        </w:tc>
        <w:tc>
          <w:tcPr>
            <w:tcW w:w="83" w:type="dxa"/>
            <w:tcBorders>
              <w:left w:val="single" w:sz="6" w:space="0" w:color="000000"/>
              <w:right w:val="single" w:sz="6" w:space="0" w:color="000000"/>
            </w:tcBorders>
            <w:shd w:val="clear" w:color="auto" w:fill="F1F1F1"/>
          </w:tcPr>
          <w:p w14:paraId="31963002" w14:textId="77777777" w:rsidR="00CA70D2" w:rsidRDefault="00CA70D2">
            <w:pPr>
              <w:pStyle w:val="TableParagraph"/>
              <w:spacing w:before="0" w:line="240" w:lineRule="auto"/>
              <w:jc w:val="left"/>
              <w:rPr>
                <w:rFonts w:ascii="Times New Roman"/>
                <w:sz w:val="20"/>
              </w:rPr>
            </w:pPr>
          </w:p>
        </w:tc>
        <w:tc>
          <w:tcPr>
            <w:tcW w:w="1081" w:type="dxa"/>
            <w:tcBorders>
              <w:left w:val="single" w:sz="6" w:space="0" w:color="000000"/>
              <w:right w:val="single" w:sz="6" w:space="0" w:color="000000"/>
            </w:tcBorders>
            <w:shd w:val="clear" w:color="auto" w:fill="F1F1F1"/>
          </w:tcPr>
          <w:p w14:paraId="69BC81BC" w14:textId="77777777" w:rsidR="00CA70D2" w:rsidRDefault="00691BD8">
            <w:pPr>
              <w:pStyle w:val="TableParagraph"/>
              <w:ind w:left="13"/>
              <w:rPr>
                <w:sz w:val="23"/>
              </w:rPr>
            </w:pPr>
            <w:r>
              <w:rPr>
                <w:sz w:val="23"/>
              </w:rPr>
              <w:t>102</w:t>
            </w:r>
          </w:p>
        </w:tc>
        <w:tc>
          <w:tcPr>
            <w:tcW w:w="1844" w:type="dxa"/>
            <w:tcBorders>
              <w:left w:val="single" w:sz="6" w:space="0" w:color="000000"/>
              <w:right w:val="single" w:sz="6" w:space="0" w:color="000000"/>
            </w:tcBorders>
            <w:shd w:val="clear" w:color="auto" w:fill="F1F1F1"/>
          </w:tcPr>
          <w:p w14:paraId="7FC9EE4C" w14:textId="77777777" w:rsidR="00CA70D2" w:rsidRDefault="00691BD8">
            <w:pPr>
              <w:pStyle w:val="TableParagraph"/>
              <w:ind w:left="36"/>
              <w:rPr>
                <w:sz w:val="23"/>
              </w:rPr>
            </w:pPr>
            <w:r>
              <w:rPr>
                <w:w w:val="90"/>
                <w:sz w:val="23"/>
              </w:rPr>
              <w:t>2</w:t>
            </w:r>
          </w:p>
        </w:tc>
        <w:tc>
          <w:tcPr>
            <w:tcW w:w="2385" w:type="dxa"/>
            <w:tcBorders>
              <w:left w:val="single" w:sz="6" w:space="0" w:color="000000"/>
              <w:right w:val="single" w:sz="6" w:space="0" w:color="000000"/>
            </w:tcBorders>
            <w:shd w:val="clear" w:color="auto" w:fill="F1F1F1"/>
          </w:tcPr>
          <w:p w14:paraId="00C7D41F" w14:textId="77777777" w:rsidR="00CA70D2" w:rsidRDefault="00691BD8">
            <w:pPr>
              <w:pStyle w:val="TableParagraph"/>
              <w:ind w:left="29" w:right="14"/>
              <w:rPr>
                <w:sz w:val="23"/>
              </w:rPr>
            </w:pPr>
            <w:r>
              <w:rPr>
                <w:sz w:val="23"/>
              </w:rPr>
              <w:t>2%</w:t>
            </w:r>
          </w:p>
        </w:tc>
      </w:tr>
      <w:tr w:rsidR="00CA70D2" w14:paraId="65EA0101" w14:textId="77777777">
        <w:trPr>
          <w:trHeight w:val="292"/>
        </w:trPr>
        <w:tc>
          <w:tcPr>
            <w:tcW w:w="1165" w:type="dxa"/>
            <w:tcBorders>
              <w:left w:val="single" w:sz="6" w:space="0" w:color="000000"/>
              <w:right w:val="single" w:sz="6" w:space="0" w:color="000000"/>
            </w:tcBorders>
          </w:tcPr>
          <w:p w14:paraId="53D8915E" w14:textId="77777777" w:rsidR="00CA70D2" w:rsidRDefault="00691BD8">
            <w:pPr>
              <w:pStyle w:val="TableParagraph"/>
              <w:ind w:left="8"/>
              <w:rPr>
                <w:sz w:val="23"/>
              </w:rPr>
            </w:pPr>
            <w:r>
              <w:rPr>
                <w:w w:val="95"/>
                <w:sz w:val="23"/>
              </w:rPr>
              <w:t>Federal Way</w:t>
            </w:r>
          </w:p>
        </w:tc>
        <w:tc>
          <w:tcPr>
            <w:tcW w:w="1456" w:type="dxa"/>
            <w:tcBorders>
              <w:left w:val="single" w:sz="6" w:space="0" w:color="000000"/>
              <w:right w:val="single" w:sz="6" w:space="0" w:color="000000"/>
            </w:tcBorders>
          </w:tcPr>
          <w:p w14:paraId="364DA2A5" w14:textId="77777777" w:rsidR="00CA70D2" w:rsidRDefault="00691BD8">
            <w:pPr>
              <w:pStyle w:val="TableParagraph"/>
              <w:ind w:left="44" w:right="19"/>
              <w:rPr>
                <w:sz w:val="23"/>
              </w:rPr>
            </w:pPr>
            <w:r>
              <w:rPr>
                <w:sz w:val="23"/>
              </w:rPr>
              <w:t>N/A</w:t>
            </w:r>
          </w:p>
        </w:tc>
        <w:tc>
          <w:tcPr>
            <w:tcW w:w="1484" w:type="dxa"/>
            <w:tcBorders>
              <w:left w:val="single" w:sz="6" w:space="0" w:color="000000"/>
              <w:right w:val="single" w:sz="6" w:space="0" w:color="000000"/>
            </w:tcBorders>
          </w:tcPr>
          <w:p w14:paraId="5B656DDB" w14:textId="77777777" w:rsidR="00CA70D2" w:rsidRDefault="00691BD8">
            <w:pPr>
              <w:pStyle w:val="TableParagraph"/>
              <w:ind w:left="34" w:right="9"/>
              <w:rPr>
                <w:sz w:val="23"/>
              </w:rPr>
            </w:pPr>
            <w:r>
              <w:rPr>
                <w:sz w:val="23"/>
              </w:rPr>
              <w:t>N/A</w:t>
            </w:r>
          </w:p>
        </w:tc>
        <w:tc>
          <w:tcPr>
            <w:tcW w:w="1678" w:type="dxa"/>
            <w:tcBorders>
              <w:left w:val="single" w:sz="6" w:space="0" w:color="000000"/>
              <w:right w:val="single" w:sz="6" w:space="0" w:color="000000"/>
            </w:tcBorders>
          </w:tcPr>
          <w:p w14:paraId="5D344333" w14:textId="77777777" w:rsidR="00CA70D2" w:rsidRDefault="00691BD8">
            <w:pPr>
              <w:pStyle w:val="TableParagraph"/>
              <w:ind w:left="24"/>
              <w:rPr>
                <w:sz w:val="23"/>
              </w:rPr>
            </w:pPr>
            <w:r>
              <w:rPr>
                <w:sz w:val="23"/>
              </w:rPr>
              <w:t>N/A</w:t>
            </w:r>
          </w:p>
        </w:tc>
        <w:tc>
          <w:tcPr>
            <w:tcW w:w="83" w:type="dxa"/>
            <w:tcBorders>
              <w:top w:val="nil"/>
              <w:left w:val="nil"/>
              <w:bottom w:val="nil"/>
              <w:right w:val="nil"/>
            </w:tcBorders>
            <w:shd w:val="clear" w:color="auto" w:fill="000000"/>
          </w:tcPr>
          <w:p w14:paraId="3902D0CC" w14:textId="77777777" w:rsidR="00CA70D2" w:rsidRDefault="00CA70D2">
            <w:pPr>
              <w:pStyle w:val="TableParagraph"/>
              <w:spacing w:before="0" w:line="240" w:lineRule="auto"/>
              <w:jc w:val="left"/>
              <w:rPr>
                <w:rFonts w:ascii="Times New Roman"/>
                <w:sz w:val="20"/>
              </w:rPr>
            </w:pPr>
          </w:p>
        </w:tc>
        <w:tc>
          <w:tcPr>
            <w:tcW w:w="1081" w:type="dxa"/>
            <w:tcBorders>
              <w:left w:val="single" w:sz="6" w:space="0" w:color="000000"/>
              <w:right w:val="single" w:sz="6" w:space="0" w:color="000000"/>
            </w:tcBorders>
          </w:tcPr>
          <w:p w14:paraId="3C10F0B6" w14:textId="77777777" w:rsidR="00CA70D2" w:rsidRDefault="00691BD8">
            <w:pPr>
              <w:pStyle w:val="TableParagraph"/>
              <w:ind w:left="27"/>
              <w:rPr>
                <w:sz w:val="23"/>
              </w:rPr>
            </w:pPr>
            <w:r>
              <w:rPr>
                <w:sz w:val="23"/>
              </w:rPr>
              <w:t>78</w:t>
            </w:r>
          </w:p>
        </w:tc>
        <w:tc>
          <w:tcPr>
            <w:tcW w:w="1844" w:type="dxa"/>
            <w:tcBorders>
              <w:left w:val="single" w:sz="6" w:space="0" w:color="000000"/>
              <w:right w:val="single" w:sz="6" w:space="0" w:color="000000"/>
            </w:tcBorders>
          </w:tcPr>
          <w:p w14:paraId="70EF3E58" w14:textId="77777777" w:rsidR="00CA70D2" w:rsidRDefault="00691BD8">
            <w:pPr>
              <w:pStyle w:val="TableParagraph"/>
              <w:ind w:left="28" w:right="14"/>
              <w:rPr>
                <w:sz w:val="23"/>
              </w:rPr>
            </w:pPr>
            <w:r>
              <w:rPr>
                <w:sz w:val="23"/>
              </w:rPr>
              <w:t>20</w:t>
            </w:r>
          </w:p>
        </w:tc>
        <w:tc>
          <w:tcPr>
            <w:tcW w:w="2385" w:type="dxa"/>
            <w:tcBorders>
              <w:left w:val="single" w:sz="6" w:space="0" w:color="000000"/>
              <w:right w:val="single" w:sz="6" w:space="0" w:color="000000"/>
            </w:tcBorders>
          </w:tcPr>
          <w:p w14:paraId="2537BA12" w14:textId="77777777" w:rsidR="00CA70D2" w:rsidRDefault="00691BD8">
            <w:pPr>
              <w:pStyle w:val="TableParagraph"/>
              <w:ind w:left="16" w:right="14"/>
              <w:rPr>
                <w:sz w:val="23"/>
              </w:rPr>
            </w:pPr>
            <w:r>
              <w:rPr>
                <w:sz w:val="23"/>
              </w:rPr>
              <w:t>26%</w:t>
            </w:r>
          </w:p>
        </w:tc>
      </w:tr>
      <w:tr w:rsidR="00CA70D2" w14:paraId="417107D3" w14:textId="77777777">
        <w:trPr>
          <w:trHeight w:val="292"/>
        </w:trPr>
        <w:tc>
          <w:tcPr>
            <w:tcW w:w="1165" w:type="dxa"/>
            <w:tcBorders>
              <w:left w:val="single" w:sz="6" w:space="0" w:color="000000"/>
              <w:right w:val="single" w:sz="6" w:space="0" w:color="000000"/>
            </w:tcBorders>
            <w:shd w:val="clear" w:color="auto" w:fill="F1F1F1"/>
          </w:tcPr>
          <w:p w14:paraId="5D35739B" w14:textId="77777777" w:rsidR="00CA70D2" w:rsidRDefault="00691BD8">
            <w:pPr>
              <w:pStyle w:val="TableParagraph"/>
              <w:ind w:left="11"/>
              <w:rPr>
                <w:sz w:val="23"/>
              </w:rPr>
            </w:pPr>
            <w:r>
              <w:rPr>
                <w:sz w:val="23"/>
              </w:rPr>
              <w:t>Kirkland</w:t>
            </w:r>
          </w:p>
        </w:tc>
        <w:tc>
          <w:tcPr>
            <w:tcW w:w="1456" w:type="dxa"/>
            <w:tcBorders>
              <w:left w:val="single" w:sz="6" w:space="0" w:color="000000"/>
              <w:right w:val="single" w:sz="6" w:space="0" w:color="000000"/>
            </w:tcBorders>
            <w:shd w:val="clear" w:color="auto" w:fill="F1F1F1"/>
          </w:tcPr>
          <w:p w14:paraId="66A0DEE4" w14:textId="77777777" w:rsidR="00CA70D2" w:rsidRDefault="00691BD8">
            <w:pPr>
              <w:pStyle w:val="TableParagraph"/>
              <w:ind w:left="32" w:right="19"/>
              <w:rPr>
                <w:sz w:val="23"/>
              </w:rPr>
            </w:pPr>
            <w:r>
              <w:rPr>
                <w:sz w:val="23"/>
              </w:rPr>
              <w:t>61</w:t>
            </w:r>
          </w:p>
        </w:tc>
        <w:tc>
          <w:tcPr>
            <w:tcW w:w="1484" w:type="dxa"/>
            <w:tcBorders>
              <w:left w:val="single" w:sz="6" w:space="0" w:color="000000"/>
              <w:right w:val="single" w:sz="6" w:space="0" w:color="000000"/>
            </w:tcBorders>
            <w:shd w:val="clear" w:color="auto" w:fill="F1F1F1"/>
          </w:tcPr>
          <w:p w14:paraId="4493CC03" w14:textId="77777777" w:rsidR="00CA70D2" w:rsidRDefault="00691BD8">
            <w:pPr>
              <w:pStyle w:val="TableParagraph"/>
              <w:ind w:left="22" w:right="9"/>
              <w:rPr>
                <w:sz w:val="23"/>
              </w:rPr>
            </w:pPr>
            <w:r>
              <w:rPr>
                <w:sz w:val="23"/>
              </w:rPr>
              <w:t>29</w:t>
            </w:r>
          </w:p>
        </w:tc>
        <w:tc>
          <w:tcPr>
            <w:tcW w:w="1678" w:type="dxa"/>
            <w:tcBorders>
              <w:left w:val="single" w:sz="6" w:space="0" w:color="000000"/>
              <w:right w:val="single" w:sz="6" w:space="0" w:color="000000"/>
            </w:tcBorders>
            <w:shd w:val="clear" w:color="auto" w:fill="F1F1F1"/>
          </w:tcPr>
          <w:p w14:paraId="75065A3D" w14:textId="77777777" w:rsidR="00CA70D2" w:rsidRDefault="00691BD8">
            <w:pPr>
              <w:pStyle w:val="TableParagraph"/>
              <w:ind w:left="14"/>
              <w:rPr>
                <w:sz w:val="23"/>
              </w:rPr>
            </w:pPr>
            <w:r>
              <w:rPr>
                <w:sz w:val="23"/>
              </w:rPr>
              <w:t>48%</w:t>
            </w:r>
          </w:p>
        </w:tc>
        <w:tc>
          <w:tcPr>
            <w:tcW w:w="83" w:type="dxa"/>
            <w:tcBorders>
              <w:left w:val="single" w:sz="6" w:space="0" w:color="000000"/>
              <w:right w:val="single" w:sz="6" w:space="0" w:color="000000"/>
            </w:tcBorders>
            <w:shd w:val="clear" w:color="auto" w:fill="F1F1F1"/>
          </w:tcPr>
          <w:p w14:paraId="0FC0DD7C" w14:textId="77777777" w:rsidR="00CA70D2" w:rsidRDefault="00CA70D2">
            <w:pPr>
              <w:pStyle w:val="TableParagraph"/>
              <w:spacing w:before="0" w:line="240" w:lineRule="auto"/>
              <w:jc w:val="left"/>
              <w:rPr>
                <w:rFonts w:ascii="Times New Roman"/>
                <w:sz w:val="20"/>
              </w:rPr>
            </w:pPr>
          </w:p>
        </w:tc>
        <w:tc>
          <w:tcPr>
            <w:tcW w:w="1081" w:type="dxa"/>
            <w:tcBorders>
              <w:left w:val="single" w:sz="6" w:space="0" w:color="000000"/>
              <w:right w:val="single" w:sz="6" w:space="0" w:color="000000"/>
            </w:tcBorders>
            <w:shd w:val="clear" w:color="auto" w:fill="F1F1F1"/>
          </w:tcPr>
          <w:p w14:paraId="74FD9351" w14:textId="77777777" w:rsidR="00CA70D2" w:rsidRDefault="00691BD8">
            <w:pPr>
              <w:pStyle w:val="TableParagraph"/>
              <w:ind w:left="27"/>
              <w:rPr>
                <w:sz w:val="23"/>
              </w:rPr>
            </w:pPr>
            <w:r>
              <w:rPr>
                <w:sz w:val="23"/>
              </w:rPr>
              <w:t>61</w:t>
            </w:r>
          </w:p>
        </w:tc>
        <w:tc>
          <w:tcPr>
            <w:tcW w:w="1844" w:type="dxa"/>
            <w:tcBorders>
              <w:left w:val="single" w:sz="6" w:space="0" w:color="000000"/>
              <w:right w:val="single" w:sz="6" w:space="0" w:color="000000"/>
            </w:tcBorders>
            <w:shd w:val="clear" w:color="auto" w:fill="F1F1F1"/>
          </w:tcPr>
          <w:p w14:paraId="3F099040" w14:textId="77777777" w:rsidR="00CA70D2" w:rsidRDefault="00691BD8">
            <w:pPr>
              <w:pStyle w:val="TableParagraph"/>
              <w:ind w:left="36"/>
              <w:rPr>
                <w:sz w:val="23"/>
              </w:rPr>
            </w:pPr>
            <w:r>
              <w:rPr>
                <w:w w:val="90"/>
                <w:sz w:val="23"/>
              </w:rPr>
              <w:t>3</w:t>
            </w:r>
          </w:p>
        </w:tc>
        <w:tc>
          <w:tcPr>
            <w:tcW w:w="2385" w:type="dxa"/>
            <w:tcBorders>
              <w:left w:val="single" w:sz="6" w:space="0" w:color="000000"/>
              <w:right w:val="single" w:sz="6" w:space="0" w:color="000000"/>
            </w:tcBorders>
            <w:shd w:val="clear" w:color="auto" w:fill="F1F1F1"/>
          </w:tcPr>
          <w:p w14:paraId="6CEFAA9C" w14:textId="77777777" w:rsidR="00CA70D2" w:rsidRDefault="00691BD8">
            <w:pPr>
              <w:pStyle w:val="TableParagraph"/>
              <w:ind w:left="30" w:right="14"/>
              <w:rPr>
                <w:sz w:val="23"/>
              </w:rPr>
            </w:pPr>
            <w:r>
              <w:rPr>
                <w:sz w:val="23"/>
              </w:rPr>
              <w:t>5%</w:t>
            </w:r>
          </w:p>
        </w:tc>
      </w:tr>
      <w:tr w:rsidR="00CA70D2" w14:paraId="7677D005" w14:textId="77777777">
        <w:trPr>
          <w:trHeight w:val="292"/>
        </w:trPr>
        <w:tc>
          <w:tcPr>
            <w:tcW w:w="1165" w:type="dxa"/>
            <w:tcBorders>
              <w:left w:val="single" w:sz="6" w:space="0" w:color="000000"/>
              <w:right w:val="single" w:sz="6" w:space="0" w:color="000000"/>
            </w:tcBorders>
          </w:tcPr>
          <w:p w14:paraId="28460BE3" w14:textId="77777777" w:rsidR="00CA70D2" w:rsidRDefault="00691BD8">
            <w:pPr>
              <w:pStyle w:val="TableParagraph"/>
              <w:ind w:left="27"/>
              <w:rPr>
                <w:sz w:val="23"/>
              </w:rPr>
            </w:pPr>
            <w:r>
              <w:rPr>
                <w:sz w:val="23"/>
              </w:rPr>
              <w:t>Redmond</w:t>
            </w:r>
          </w:p>
        </w:tc>
        <w:tc>
          <w:tcPr>
            <w:tcW w:w="1456" w:type="dxa"/>
            <w:tcBorders>
              <w:left w:val="single" w:sz="6" w:space="0" w:color="000000"/>
              <w:right w:val="single" w:sz="6" w:space="0" w:color="000000"/>
            </w:tcBorders>
          </w:tcPr>
          <w:p w14:paraId="2242BBF7" w14:textId="77777777" w:rsidR="00CA70D2" w:rsidRDefault="00691BD8">
            <w:pPr>
              <w:pStyle w:val="TableParagraph"/>
              <w:ind w:left="32" w:right="19"/>
              <w:rPr>
                <w:sz w:val="23"/>
              </w:rPr>
            </w:pPr>
            <w:r>
              <w:rPr>
                <w:sz w:val="23"/>
              </w:rPr>
              <w:t>60</w:t>
            </w:r>
          </w:p>
        </w:tc>
        <w:tc>
          <w:tcPr>
            <w:tcW w:w="1484" w:type="dxa"/>
            <w:tcBorders>
              <w:left w:val="single" w:sz="6" w:space="0" w:color="000000"/>
              <w:right w:val="single" w:sz="6" w:space="0" w:color="000000"/>
            </w:tcBorders>
          </w:tcPr>
          <w:p w14:paraId="7531A48E" w14:textId="77777777" w:rsidR="00CA70D2" w:rsidRDefault="00691BD8">
            <w:pPr>
              <w:pStyle w:val="TableParagraph"/>
              <w:ind w:left="22" w:right="9"/>
              <w:rPr>
                <w:sz w:val="23"/>
              </w:rPr>
            </w:pPr>
            <w:r>
              <w:rPr>
                <w:sz w:val="23"/>
              </w:rPr>
              <w:t>24</w:t>
            </w:r>
          </w:p>
        </w:tc>
        <w:tc>
          <w:tcPr>
            <w:tcW w:w="1678" w:type="dxa"/>
            <w:tcBorders>
              <w:left w:val="single" w:sz="6" w:space="0" w:color="000000"/>
              <w:right w:val="single" w:sz="6" w:space="0" w:color="000000"/>
            </w:tcBorders>
          </w:tcPr>
          <w:p w14:paraId="0C82D3C6" w14:textId="77777777" w:rsidR="00CA70D2" w:rsidRDefault="00691BD8">
            <w:pPr>
              <w:pStyle w:val="TableParagraph"/>
              <w:ind w:left="14"/>
              <w:rPr>
                <w:sz w:val="23"/>
              </w:rPr>
            </w:pPr>
            <w:r>
              <w:rPr>
                <w:sz w:val="23"/>
              </w:rPr>
              <w:t>40%</w:t>
            </w:r>
          </w:p>
        </w:tc>
        <w:tc>
          <w:tcPr>
            <w:tcW w:w="83" w:type="dxa"/>
            <w:tcBorders>
              <w:top w:val="nil"/>
              <w:left w:val="nil"/>
              <w:bottom w:val="nil"/>
              <w:right w:val="nil"/>
            </w:tcBorders>
            <w:shd w:val="clear" w:color="auto" w:fill="000000"/>
          </w:tcPr>
          <w:p w14:paraId="120313E5" w14:textId="77777777" w:rsidR="00CA70D2" w:rsidRDefault="00CA70D2">
            <w:pPr>
              <w:pStyle w:val="TableParagraph"/>
              <w:spacing w:before="0" w:line="240" w:lineRule="auto"/>
              <w:jc w:val="left"/>
              <w:rPr>
                <w:rFonts w:ascii="Times New Roman"/>
                <w:sz w:val="20"/>
              </w:rPr>
            </w:pPr>
          </w:p>
        </w:tc>
        <w:tc>
          <w:tcPr>
            <w:tcW w:w="1081" w:type="dxa"/>
            <w:tcBorders>
              <w:left w:val="single" w:sz="6" w:space="0" w:color="000000"/>
              <w:right w:val="single" w:sz="6" w:space="0" w:color="000000"/>
            </w:tcBorders>
          </w:tcPr>
          <w:p w14:paraId="1B1EFE2D" w14:textId="77777777" w:rsidR="00CA70D2" w:rsidRDefault="00691BD8">
            <w:pPr>
              <w:pStyle w:val="TableParagraph"/>
              <w:ind w:left="12"/>
              <w:rPr>
                <w:sz w:val="23"/>
              </w:rPr>
            </w:pPr>
            <w:r>
              <w:rPr>
                <w:sz w:val="23"/>
              </w:rPr>
              <w:t>N/A</w:t>
            </w:r>
          </w:p>
        </w:tc>
        <w:tc>
          <w:tcPr>
            <w:tcW w:w="1844" w:type="dxa"/>
            <w:tcBorders>
              <w:left w:val="single" w:sz="6" w:space="0" w:color="000000"/>
              <w:right w:val="single" w:sz="6" w:space="0" w:color="000000"/>
            </w:tcBorders>
          </w:tcPr>
          <w:p w14:paraId="0F09D0DA" w14:textId="77777777" w:rsidR="00CA70D2" w:rsidRDefault="00691BD8">
            <w:pPr>
              <w:pStyle w:val="TableParagraph"/>
              <w:ind w:left="28" w:right="2"/>
              <w:rPr>
                <w:sz w:val="23"/>
              </w:rPr>
            </w:pPr>
            <w:r>
              <w:rPr>
                <w:sz w:val="23"/>
              </w:rPr>
              <w:t>N/A</w:t>
            </w:r>
          </w:p>
        </w:tc>
        <w:tc>
          <w:tcPr>
            <w:tcW w:w="2385" w:type="dxa"/>
            <w:tcBorders>
              <w:left w:val="single" w:sz="6" w:space="0" w:color="000000"/>
              <w:right w:val="single" w:sz="6" w:space="0" w:color="000000"/>
            </w:tcBorders>
          </w:tcPr>
          <w:p w14:paraId="069E0022" w14:textId="77777777" w:rsidR="00CA70D2" w:rsidRDefault="00691BD8">
            <w:pPr>
              <w:pStyle w:val="TableParagraph"/>
              <w:ind w:left="27" w:right="14"/>
              <w:rPr>
                <w:sz w:val="23"/>
              </w:rPr>
            </w:pPr>
            <w:r>
              <w:rPr>
                <w:sz w:val="23"/>
              </w:rPr>
              <w:t>N/A</w:t>
            </w:r>
          </w:p>
        </w:tc>
      </w:tr>
      <w:tr w:rsidR="00CA70D2" w14:paraId="66078FD0" w14:textId="77777777">
        <w:trPr>
          <w:trHeight w:val="292"/>
        </w:trPr>
        <w:tc>
          <w:tcPr>
            <w:tcW w:w="1165" w:type="dxa"/>
            <w:tcBorders>
              <w:left w:val="single" w:sz="6" w:space="0" w:color="000000"/>
              <w:right w:val="single" w:sz="6" w:space="0" w:color="000000"/>
            </w:tcBorders>
            <w:shd w:val="clear" w:color="auto" w:fill="F1F1F1"/>
          </w:tcPr>
          <w:p w14:paraId="6D744E71" w14:textId="77777777" w:rsidR="00CA70D2" w:rsidRDefault="00691BD8">
            <w:pPr>
              <w:pStyle w:val="TableParagraph"/>
              <w:ind w:left="12"/>
              <w:rPr>
                <w:sz w:val="23"/>
              </w:rPr>
            </w:pPr>
            <w:r>
              <w:rPr>
                <w:w w:val="90"/>
                <w:sz w:val="23"/>
              </w:rPr>
              <w:t>Sammamish</w:t>
            </w:r>
          </w:p>
        </w:tc>
        <w:tc>
          <w:tcPr>
            <w:tcW w:w="1456" w:type="dxa"/>
            <w:tcBorders>
              <w:left w:val="single" w:sz="6" w:space="0" w:color="000000"/>
              <w:right w:val="single" w:sz="6" w:space="0" w:color="000000"/>
            </w:tcBorders>
            <w:shd w:val="clear" w:color="auto" w:fill="F1F1F1"/>
          </w:tcPr>
          <w:p w14:paraId="21F2445B" w14:textId="77777777" w:rsidR="00CA70D2" w:rsidRDefault="00691BD8">
            <w:pPr>
              <w:pStyle w:val="TableParagraph"/>
              <w:ind w:left="32" w:right="19"/>
              <w:rPr>
                <w:sz w:val="23"/>
              </w:rPr>
            </w:pPr>
            <w:r>
              <w:rPr>
                <w:sz w:val="23"/>
              </w:rPr>
              <w:t>39</w:t>
            </w:r>
          </w:p>
        </w:tc>
        <w:tc>
          <w:tcPr>
            <w:tcW w:w="1484" w:type="dxa"/>
            <w:tcBorders>
              <w:left w:val="single" w:sz="6" w:space="0" w:color="000000"/>
              <w:right w:val="single" w:sz="6" w:space="0" w:color="000000"/>
            </w:tcBorders>
            <w:shd w:val="clear" w:color="auto" w:fill="F1F1F1"/>
          </w:tcPr>
          <w:p w14:paraId="663521E9" w14:textId="77777777" w:rsidR="00CA70D2" w:rsidRDefault="00691BD8">
            <w:pPr>
              <w:pStyle w:val="TableParagraph"/>
              <w:ind w:left="22" w:right="9"/>
              <w:rPr>
                <w:sz w:val="23"/>
              </w:rPr>
            </w:pPr>
            <w:r>
              <w:rPr>
                <w:sz w:val="23"/>
              </w:rPr>
              <w:t>12</w:t>
            </w:r>
          </w:p>
        </w:tc>
        <w:tc>
          <w:tcPr>
            <w:tcW w:w="1678" w:type="dxa"/>
            <w:tcBorders>
              <w:left w:val="single" w:sz="6" w:space="0" w:color="000000"/>
              <w:right w:val="single" w:sz="6" w:space="0" w:color="000000"/>
            </w:tcBorders>
            <w:shd w:val="clear" w:color="auto" w:fill="F1F1F1"/>
          </w:tcPr>
          <w:p w14:paraId="1F62D318" w14:textId="77777777" w:rsidR="00CA70D2" w:rsidRDefault="00691BD8">
            <w:pPr>
              <w:pStyle w:val="TableParagraph"/>
              <w:ind w:left="14"/>
              <w:rPr>
                <w:sz w:val="23"/>
              </w:rPr>
            </w:pPr>
            <w:r>
              <w:rPr>
                <w:sz w:val="23"/>
              </w:rPr>
              <w:t>31%</w:t>
            </w:r>
          </w:p>
        </w:tc>
        <w:tc>
          <w:tcPr>
            <w:tcW w:w="83" w:type="dxa"/>
            <w:tcBorders>
              <w:left w:val="single" w:sz="6" w:space="0" w:color="000000"/>
              <w:right w:val="single" w:sz="6" w:space="0" w:color="000000"/>
            </w:tcBorders>
            <w:shd w:val="clear" w:color="auto" w:fill="F1F1F1"/>
          </w:tcPr>
          <w:p w14:paraId="2D490554" w14:textId="77777777" w:rsidR="00CA70D2" w:rsidRDefault="00CA70D2">
            <w:pPr>
              <w:pStyle w:val="TableParagraph"/>
              <w:spacing w:before="0" w:line="240" w:lineRule="auto"/>
              <w:jc w:val="left"/>
              <w:rPr>
                <w:rFonts w:ascii="Times New Roman"/>
                <w:sz w:val="20"/>
              </w:rPr>
            </w:pPr>
          </w:p>
        </w:tc>
        <w:tc>
          <w:tcPr>
            <w:tcW w:w="1081" w:type="dxa"/>
            <w:tcBorders>
              <w:left w:val="single" w:sz="6" w:space="0" w:color="000000"/>
              <w:right w:val="single" w:sz="6" w:space="0" w:color="000000"/>
            </w:tcBorders>
            <w:shd w:val="clear" w:color="auto" w:fill="F1F1F1"/>
          </w:tcPr>
          <w:p w14:paraId="655E3789" w14:textId="77777777" w:rsidR="00CA70D2" w:rsidRDefault="00691BD8">
            <w:pPr>
              <w:pStyle w:val="TableParagraph"/>
              <w:ind w:left="27"/>
              <w:rPr>
                <w:sz w:val="23"/>
              </w:rPr>
            </w:pPr>
            <w:r>
              <w:rPr>
                <w:sz w:val="23"/>
              </w:rPr>
              <w:t>39</w:t>
            </w:r>
          </w:p>
        </w:tc>
        <w:tc>
          <w:tcPr>
            <w:tcW w:w="1844" w:type="dxa"/>
            <w:tcBorders>
              <w:left w:val="single" w:sz="6" w:space="0" w:color="000000"/>
              <w:right w:val="single" w:sz="6" w:space="0" w:color="000000"/>
            </w:tcBorders>
            <w:shd w:val="clear" w:color="auto" w:fill="F1F1F1"/>
          </w:tcPr>
          <w:p w14:paraId="6A8582AB" w14:textId="77777777" w:rsidR="00CA70D2" w:rsidRDefault="00691BD8">
            <w:pPr>
              <w:pStyle w:val="TableParagraph"/>
              <w:ind w:left="36"/>
              <w:rPr>
                <w:sz w:val="23"/>
              </w:rPr>
            </w:pPr>
            <w:r>
              <w:rPr>
                <w:w w:val="90"/>
                <w:sz w:val="23"/>
              </w:rPr>
              <w:t>8</w:t>
            </w:r>
          </w:p>
        </w:tc>
        <w:tc>
          <w:tcPr>
            <w:tcW w:w="2385" w:type="dxa"/>
            <w:tcBorders>
              <w:left w:val="single" w:sz="6" w:space="0" w:color="000000"/>
              <w:right w:val="single" w:sz="6" w:space="0" w:color="000000"/>
            </w:tcBorders>
            <w:shd w:val="clear" w:color="auto" w:fill="F1F1F1"/>
          </w:tcPr>
          <w:p w14:paraId="1EF2DCA6" w14:textId="77777777" w:rsidR="00CA70D2" w:rsidRDefault="00691BD8">
            <w:pPr>
              <w:pStyle w:val="TableParagraph"/>
              <w:ind w:left="16" w:right="14"/>
              <w:rPr>
                <w:sz w:val="23"/>
              </w:rPr>
            </w:pPr>
            <w:r>
              <w:rPr>
                <w:sz w:val="23"/>
              </w:rPr>
              <w:t>21%</w:t>
            </w:r>
          </w:p>
        </w:tc>
      </w:tr>
      <w:tr w:rsidR="00CA70D2" w14:paraId="3741D0F6" w14:textId="77777777">
        <w:trPr>
          <w:trHeight w:val="292"/>
        </w:trPr>
        <w:tc>
          <w:tcPr>
            <w:tcW w:w="1165" w:type="dxa"/>
            <w:tcBorders>
              <w:left w:val="single" w:sz="6" w:space="0" w:color="000000"/>
              <w:right w:val="single" w:sz="6" w:space="0" w:color="000000"/>
            </w:tcBorders>
            <w:shd w:val="clear" w:color="auto" w:fill="D9E0F1"/>
          </w:tcPr>
          <w:p w14:paraId="4B2511A7" w14:textId="77777777" w:rsidR="00CA70D2" w:rsidRDefault="00691BD8">
            <w:pPr>
              <w:pStyle w:val="TableParagraph"/>
              <w:ind w:left="9"/>
              <w:rPr>
                <w:b/>
                <w:sz w:val="23"/>
              </w:rPr>
            </w:pPr>
            <w:r>
              <w:rPr>
                <w:b/>
                <w:sz w:val="23"/>
              </w:rPr>
              <w:t>Total</w:t>
            </w:r>
          </w:p>
        </w:tc>
        <w:tc>
          <w:tcPr>
            <w:tcW w:w="1456" w:type="dxa"/>
            <w:tcBorders>
              <w:left w:val="single" w:sz="6" w:space="0" w:color="000000"/>
              <w:right w:val="single" w:sz="6" w:space="0" w:color="000000"/>
            </w:tcBorders>
            <w:shd w:val="clear" w:color="auto" w:fill="D9E0F1"/>
          </w:tcPr>
          <w:p w14:paraId="68230D81" w14:textId="77777777" w:rsidR="00CA70D2" w:rsidRDefault="00691BD8">
            <w:pPr>
              <w:pStyle w:val="TableParagraph"/>
              <w:ind w:left="47" w:right="19"/>
              <w:rPr>
                <w:b/>
                <w:sz w:val="23"/>
              </w:rPr>
            </w:pPr>
            <w:r>
              <w:rPr>
                <w:b/>
                <w:sz w:val="23"/>
              </w:rPr>
              <w:t>373</w:t>
            </w:r>
          </w:p>
        </w:tc>
        <w:tc>
          <w:tcPr>
            <w:tcW w:w="1484" w:type="dxa"/>
            <w:tcBorders>
              <w:left w:val="single" w:sz="6" w:space="0" w:color="000000"/>
              <w:right w:val="single" w:sz="6" w:space="0" w:color="000000"/>
            </w:tcBorders>
            <w:shd w:val="clear" w:color="auto" w:fill="D9E0F1"/>
          </w:tcPr>
          <w:p w14:paraId="23CA05E7" w14:textId="77777777" w:rsidR="00CA70D2" w:rsidRDefault="00691BD8">
            <w:pPr>
              <w:pStyle w:val="TableParagraph"/>
              <w:ind w:left="36" w:right="9"/>
              <w:rPr>
                <w:b/>
                <w:sz w:val="23"/>
              </w:rPr>
            </w:pPr>
            <w:r>
              <w:rPr>
                <w:b/>
                <w:sz w:val="23"/>
              </w:rPr>
              <w:t>128</w:t>
            </w:r>
          </w:p>
        </w:tc>
        <w:tc>
          <w:tcPr>
            <w:tcW w:w="1678" w:type="dxa"/>
            <w:tcBorders>
              <w:left w:val="single" w:sz="6" w:space="0" w:color="000000"/>
              <w:right w:val="single" w:sz="6" w:space="0" w:color="000000"/>
            </w:tcBorders>
            <w:shd w:val="clear" w:color="auto" w:fill="D9E0F1"/>
          </w:tcPr>
          <w:p w14:paraId="185121F2" w14:textId="77777777" w:rsidR="00CA70D2" w:rsidRDefault="00691BD8">
            <w:pPr>
              <w:pStyle w:val="TableParagraph"/>
              <w:ind w:left="18"/>
              <w:rPr>
                <w:b/>
                <w:sz w:val="23"/>
              </w:rPr>
            </w:pPr>
            <w:r>
              <w:rPr>
                <w:b/>
                <w:sz w:val="23"/>
              </w:rPr>
              <w:t>34%</w:t>
            </w:r>
          </w:p>
        </w:tc>
        <w:tc>
          <w:tcPr>
            <w:tcW w:w="83" w:type="dxa"/>
            <w:tcBorders>
              <w:left w:val="single" w:sz="6" w:space="0" w:color="000000"/>
              <w:right w:val="single" w:sz="6" w:space="0" w:color="000000"/>
            </w:tcBorders>
            <w:shd w:val="clear" w:color="auto" w:fill="D9E0F1"/>
          </w:tcPr>
          <w:p w14:paraId="7B900F23" w14:textId="77777777" w:rsidR="00CA70D2" w:rsidRDefault="00CA70D2">
            <w:pPr>
              <w:pStyle w:val="TableParagraph"/>
              <w:spacing w:before="0" w:line="240" w:lineRule="auto"/>
              <w:jc w:val="left"/>
              <w:rPr>
                <w:rFonts w:ascii="Times New Roman"/>
                <w:sz w:val="20"/>
              </w:rPr>
            </w:pPr>
          </w:p>
        </w:tc>
        <w:tc>
          <w:tcPr>
            <w:tcW w:w="1081" w:type="dxa"/>
            <w:tcBorders>
              <w:left w:val="single" w:sz="6" w:space="0" w:color="000000"/>
              <w:right w:val="single" w:sz="6" w:space="0" w:color="000000"/>
            </w:tcBorders>
            <w:shd w:val="clear" w:color="auto" w:fill="D9E0F1"/>
          </w:tcPr>
          <w:p w14:paraId="60A1A3D4" w14:textId="77777777" w:rsidR="00CA70D2" w:rsidRDefault="00691BD8">
            <w:pPr>
              <w:pStyle w:val="TableParagraph"/>
              <w:ind w:left="14"/>
              <w:rPr>
                <w:b/>
                <w:sz w:val="23"/>
              </w:rPr>
            </w:pPr>
            <w:r>
              <w:rPr>
                <w:b/>
                <w:sz w:val="23"/>
              </w:rPr>
              <w:t>391</w:t>
            </w:r>
          </w:p>
        </w:tc>
        <w:tc>
          <w:tcPr>
            <w:tcW w:w="1844" w:type="dxa"/>
            <w:tcBorders>
              <w:left w:val="single" w:sz="6" w:space="0" w:color="000000"/>
              <w:right w:val="single" w:sz="6" w:space="0" w:color="000000"/>
            </w:tcBorders>
            <w:shd w:val="clear" w:color="auto" w:fill="D9E0F1"/>
          </w:tcPr>
          <w:p w14:paraId="3416EE6F" w14:textId="77777777" w:rsidR="00CA70D2" w:rsidRDefault="00691BD8">
            <w:pPr>
              <w:pStyle w:val="TableParagraph"/>
              <w:ind w:left="28" w:right="13"/>
              <w:rPr>
                <w:b/>
                <w:sz w:val="23"/>
              </w:rPr>
            </w:pPr>
            <w:r>
              <w:rPr>
                <w:b/>
                <w:sz w:val="23"/>
              </w:rPr>
              <w:t>47</w:t>
            </w:r>
          </w:p>
        </w:tc>
        <w:tc>
          <w:tcPr>
            <w:tcW w:w="2385" w:type="dxa"/>
            <w:tcBorders>
              <w:left w:val="single" w:sz="6" w:space="0" w:color="000000"/>
              <w:right w:val="single" w:sz="6" w:space="0" w:color="000000"/>
            </w:tcBorders>
            <w:shd w:val="clear" w:color="auto" w:fill="D9E0F1"/>
          </w:tcPr>
          <w:p w14:paraId="6EC5D9CF" w14:textId="77777777" w:rsidR="00CA70D2" w:rsidRDefault="00691BD8">
            <w:pPr>
              <w:pStyle w:val="TableParagraph"/>
              <w:ind w:left="20" w:right="14"/>
              <w:rPr>
                <w:b/>
                <w:sz w:val="23"/>
              </w:rPr>
            </w:pPr>
            <w:r>
              <w:rPr>
                <w:b/>
                <w:sz w:val="23"/>
              </w:rPr>
              <w:t>12%</w:t>
            </w:r>
          </w:p>
        </w:tc>
      </w:tr>
    </w:tbl>
    <w:p w14:paraId="72FA4375" w14:textId="77777777" w:rsidR="00CA70D2" w:rsidRDefault="00CA70D2">
      <w:pPr>
        <w:rPr>
          <w:sz w:val="23"/>
        </w:rPr>
        <w:sectPr w:rsidR="00CA70D2">
          <w:footerReference w:type="default" r:id="rId7"/>
          <w:type w:val="continuous"/>
          <w:pgSz w:w="12240" w:h="15840"/>
          <w:pgMar w:top="700" w:right="460" w:bottom="280" w:left="320" w:header="720" w:footer="720" w:gutter="0"/>
          <w:cols w:space="720"/>
        </w:sectPr>
      </w:pPr>
    </w:p>
    <w:p w14:paraId="05FAD465" w14:textId="77777777" w:rsidR="00CA70D2" w:rsidRDefault="00691BD8">
      <w:pPr>
        <w:pStyle w:val="Heading1"/>
        <w:numPr>
          <w:ilvl w:val="0"/>
          <w:numId w:val="1"/>
        </w:numPr>
        <w:tabs>
          <w:tab w:val="left" w:pos="671"/>
        </w:tabs>
        <w:ind w:left="670" w:hanging="271"/>
      </w:pPr>
      <w:r>
        <w:lastRenderedPageBreak/>
        <w:t>Business</w:t>
      </w:r>
      <w:r>
        <w:rPr>
          <w:spacing w:val="-1"/>
        </w:rPr>
        <w:t xml:space="preserve"> </w:t>
      </w:r>
      <w:r>
        <w:t>type</w:t>
      </w:r>
    </w:p>
    <w:p w14:paraId="02B2E7F5" w14:textId="77777777" w:rsidR="00CA70D2" w:rsidRDefault="00CA70D2">
      <w:pPr>
        <w:pStyle w:val="BodyText"/>
        <w:rPr>
          <w:b/>
        </w:rPr>
      </w:pPr>
    </w:p>
    <w:p w14:paraId="24795D80" w14:textId="2D727973" w:rsidR="00CA70D2" w:rsidRDefault="00691BD8">
      <w:pPr>
        <w:pStyle w:val="BodyText"/>
        <w:spacing w:line="259" w:lineRule="auto"/>
        <w:ind w:left="399" w:right="619"/>
      </w:pPr>
      <w:r>
        <w:t>Information on business type and dumpster condition was collected from 210 businesses in Bellevue, Kirkland and Sammamish. Data from the reporting jurisdictions were reclassified into common business sector categories for data analysis purposes.</w:t>
      </w:r>
    </w:p>
    <w:p w14:paraId="5F04B385" w14:textId="77777777" w:rsidR="00CA70D2" w:rsidRDefault="00CA70D2">
      <w:pPr>
        <w:pStyle w:val="BodyText"/>
        <w:spacing w:before="7"/>
        <w:rPr>
          <w:sz w:val="19"/>
        </w:rPr>
      </w:pPr>
    </w:p>
    <w:p w14:paraId="5267D2C0" w14:textId="77777777" w:rsidR="00CA70D2" w:rsidRDefault="00691BD8">
      <w:pPr>
        <w:pStyle w:val="BodyText"/>
        <w:spacing w:line="259" w:lineRule="auto"/>
        <w:ind w:left="399" w:right="536"/>
      </w:pPr>
      <w:r>
        <w:t>While a high degree of variability was observed across businesses sectors, data analysis revealed no statistically significant* differences between business type with regard to lid status or dumpster condition. It is likely the business group sample sizes are too small to make definitive conclusions regarding pollution by business sector.</w:t>
      </w:r>
    </w:p>
    <w:p w14:paraId="740CFCFE" w14:textId="77777777" w:rsidR="00CA70D2" w:rsidRDefault="00CA70D2">
      <w:pPr>
        <w:pStyle w:val="BodyText"/>
        <w:spacing w:before="8"/>
        <w:rPr>
          <w:sz w:val="19"/>
        </w:rPr>
      </w:pPr>
    </w:p>
    <w:p w14:paraId="31529608" w14:textId="77777777" w:rsidR="00CA70D2" w:rsidRDefault="00691BD8">
      <w:pPr>
        <w:pStyle w:val="BodyText"/>
        <w:spacing w:line="259" w:lineRule="auto"/>
        <w:ind w:left="400" w:right="801"/>
      </w:pPr>
      <w:r>
        <w:t>Automotive businesses approached statistical significance for being more likely to have an open lid (</w:t>
      </w:r>
      <w:r>
        <w:rPr>
          <w:i/>
        </w:rPr>
        <w:t>p=0.06</w:t>
      </w:r>
      <w:r>
        <w:t>). Retail businesses approached statistical significance for being more likely to have a dumpster/container free of damage (</w:t>
      </w:r>
      <w:r>
        <w:rPr>
          <w:i/>
        </w:rPr>
        <w:t>p=0.08</w:t>
      </w:r>
      <w:r>
        <w:t>).</w:t>
      </w:r>
    </w:p>
    <w:p w14:paraId="48529130" w14:textId="77777777" w:rsidR="00CA70D2" w:rsidRDefault="00691BD8">
      <w:pPr>
        <w:pStyle w:val="BodyText"/>
        <w:spacing w:before="158"/>
        <w:ind w:left="400" w:right="1158"/>
      </w:pPr>
      <w:r>
        <w:t>Percentage of lids open (Chart 2.1) ranged from 0% at Church/Community Centers (n=7) to 60% at Automotive businesses (n=10).</w:t>
      </w:r>
    </w:p>
    <w:p w14:paraId="2298C7F0" w14:textId="77777777" w:rsidR="00CA70D2" w:rsidRDefault="00691BD8">
      <w:pPr>
        <w:pStyle w:val="BodyText"/>
        <w:spacing w:before="2"/>
        <w:rPr>
          <w:sz w:val="20"/>
        </w:rPr>
      </w:pPr>
      <w:r>
        <w:rPr>
          <w:noProof/>
        </w:rPr>
        <w:drawing>
          <wp:anchor distT="0" distB="0" distL="0" distR="0" simplePos="0" relativeHeight="251658240" behindDoc="0" locked="0" layoutInCell="1" allowOverlap="1" wp14:anchorId="3916A1DD" wp14:editId="344C6085">
            <wp:simplePos x="0" y="0"/>
            <wp:positionH relativeFrom="page">
              <wp:posOffset>370840</wp:posOffset>
            </wp:positionH>
            <wp:positionV relativeFrom="paragraph">
              <wp:posOffset>181298</wp:posOffset>
            </wp:positionV>
            <wp:extent cx="6982766" cy="422405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982766" cy="4224051"/>
                    </a:xfrm>
                    <a:prstGeom prst="rect">
                      <a:avLst/>
                    </a:prstGeom>
                  </pic:spPr>
                </pic:pic>
              </a:graphicData>
            </a:graphic>
          </wp:anchor>
        </w:drawing>
      </w:r>
    </w:p>
    <w:p w14:paraId="1BA16150" w14:textId="77777777" w:rsidR="00CA70D2" w:rsidRDefault="00CA70D2">
      <w:pPr>
        <w:pStyle w:val="BodyText"/>
        <w:spacing w:before="1"/>
        <w:rPr>
          <w:sz w:val="25"/>
        </w:rPr>
      </w:pPr>
    </w:p>
    <w:p w14:paraId="191EECA4" w14:textId="77777777" w:rsidR="00CA70D2" w:rsidRDefault="00691BD8">
      <w:pPr>
        <w:ind w:left="400" w:right="392"/>
        <w:rPr>
          <w:i/>
          <w:sz w:val="20"/>
        </w:rPr>
      </w:pPr>
      <w:r>
        <w:rPr>
          <w:i/>
          <w:sz w:val="20"/>
        </w:rPr>
        <w:t>*Statistical significance is the probability that the observed result would have occurred due to sampling error alone. A p-value lower than 0.05 indicates statistical significance.</w:t>
      </w:r>
    </w:p>
    <w:p w14:paraId="52691A5B" w14:textId="77777777" w:rsidR="00CA70D2" w:rsidRDefault="00CA70D2">
      <w:pPr>
        <w:rPr>
          <w:sz w:val="20"/>
        </w:rPr>
        <w:sectPr w:rsidR="00CA70D2">
          <w:pgSz w:w="12240" w:h="15840"/>
          <w:pgMar w:top="700" w:right="460" w:bottom="280" w:left="320" w:header="720" w:footer="720" w:gutter="0"/>
          <w:cols w:space="720"/>
        </w:sectPr>
      </w:pPr>
    </w:p>
    <w:p w14:paraId="2524F98A" w14:textId="291776C5" w:rsidR="00CA70D2" w:rsidRDefault="002A6399">
      <w:pPr>
        <w:pStyle w:val="BodyText"/>
        <w:spacing w:before="40" w:line="259" w:lineRule="auto"/>
        <w:ind w:left="399" w:right="241"/>
      </w:pPr>
      <w:r>
        <w:lastRenderedPageBreak/>
        <w:t>The p</w:t>
      </w:r>
      <w:r w:rsidR="00691BD8">
        <w:t>ercentage of containers leaking and/or damaged (Chart 2.2) ranged from 0% at Church/Community Centers (n=7), Pet/</w:t>
      </w:r>
      <w:r>
        <w:t>Veterinarian</w:t>
      </w:r>
      <w:r w:rsidR="00691BD8">
        <w:t xml:space="preserve"> (n=5), Print/Paint (n=4), Schools (n=4), Gas Stations (n=4), and Automotive businesses (n=10) up to 27% at Grocery Stores (n=11).</w:t>
      </w:r>
    </w:p>
    <w:p w14:paraId="1685ECDD" w14:textId="77777777" w:rsidR="00CA70D2" w:rsidRDefault="00691BD8">
      <w:pPr>
        <w:pStyle w:val="BodyText"/>
        <w:spacing w:before="6"/>
        <w:rPr>
          <w:sz w:val="11"/>
        </w:rPr>
      </w:pPr>
      <w:r>
        <w:rPr>
          <w:noProof/>
        </w:rPr>
        <w:drawing>
          <wp:anchor distT="0" distB="0" distL="0" distR="0" simplePos="0" relativeHeight="251659264" behindDoc="0" locked="0" layoutInCell="1" allowOverlap="1" wp14:anchorId="711FA1DC" wp14:editId="65916311">
            <wp:simplePos x="0" y="0"/>
            <wp:positionH relativeFrom="page">
              <wp:posOffset>638175</wp:posOffset>
            </wp:positionH>
            <wp:positionV relativeFrom="paragraph">
              <wp:posOffset>114225</wp:posOffset>
            </wp:positionV>
            <wp:extent cx="6239444" cy="381381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239444" cy="3813810"/>
                    </a:xfrm>
                    <a:prstGeom prst="rect">
                      <a:avLst/>
                    </a:prstGeom>
                  </pic:spPr>
                </pic:pic>
              </a:graphicData>
            </a:graphic>
          </wp:anchor>
        </w:drawing>
      </w:r>
    </w:p>
    <w:p w14:paraId="2ADCA9F0" w14:textId="77777777" w:rsidR="00CA70D2" w:rsidRDefault="00CA70D2">
      <w:pPr>
        <w:pStyle w:val="BodyText"/>
        <w:spacing w:before="10"/>
        <w:rPr>
          <w:sz w:val="19"/>
        </w:rPr>
      </w:pPr>
    </w:p>
    <w:p w14:paraId="6E7012E2" w14:textId="6DDBD614" w:rsidR="00CA70D2" w:rsidRDefault="00691BD8">
      <w:pPr>
        <w:pStyle w:val="BodyText"/>
        <w:spacing w:line="259" w:lineRule="auto"/>
        <w:ind w:left="400" w:right="801" w:hanging="1"/>
      </w:pPr>
      <w:r>
        <w:rPr>
          <w:noProof/>
        </w:rPr>
        <w:drawing>
          <wp:anchor distT="0" distB="0" distL="0" distR="0" simplePos="0" relativeHeight="2" behindDoc="0" locked="0" layoutInCell="1" allowOverlap="1" wp14:anchorId="15925D9E" wp14:editId="2B1E3318">
            <wp:simplePos x="0" y="0"/>
            <wp:positionH relativeFrom="page">
              <wp:posOffset>634365</wp:posOffset>
            </wp:positionH>
            <wp:positionV relativeFrom="paragraph">
              <wp:posOffset>402363</wp:posOffset>
            </wp:positionV>
            <wp:extent cx="6241027" cy="390296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241027" cy="3902964"/>
                    </a:xfrm>
                    <a:prstGeom prst="rect">
                      <a:avLst/>
                    </a:prstGeom>
                  </pic:spPr>
                </pic:pic>
              </a:graphicData>
            </a:graphic>
          </wp:anchor>
        </w:drawing>
      </w:r>
      <w:r>
        <w:t>Average rated dumpster condition (Chart 2.3) ranged from 1.0 at Pet/</w:t>
      </w:r>
      <w:r w:rsidR="002A6399">
        <w:t>Veterinarian</w:t>
      </w:r>
      <w:r>
        <w:t xml:space="preserve"> (n=5) and Schools (n=4) to 2.0 at Medical/Dental (n=4) and Mixed Use (n=15).</w:t>
      </w:r>
    </w:p>
    <w:p w14:paraId="5C9158DE" w14:textId="77777777" w:rsidR="00CA70D2" w:rsidRDefault="00CA70D2">
      <w:pPr>
        <w:spacing w:line="259" w:lineRule="auto"/>
        <w:sectPr w:rsidR="00CA70D2">
          <w:pgSz w:w="12240" w:h="15840"/>
          <w:pgMar w:top="680" w:right="460" w:bottom="280" w:left="320" w:header="720" w:footer="720" w:gutter="0"/>
          <w:cols w:space="720"/>
        </w:sectPr>
      </w:pPr>
    </w:p>
    <w:p w14:paraId="4F0B24B9" w14:textId="77777777" w:rsidR="00CA70D2" w:rsidRDefault="00691BD8">
      <w:pPr>
        <w:pStyle w:val="Heading1"/>
        <w:numPr>
          <w:ilvl w:val="0"/>
          <w:numId w:val="1"/>
        </w:numPr>
        <w:tabs>
          <w:tab w:val="left" w:pos="761"/>
        </w:tabs>
        <w:ind w:left="760" w:hanging="361"/>
      </w:pPr>
      <w:r>
        <w:t>Use by single or multiple</w:t>
      </w:r>
      <w:r>
        <w:rPr>
          <w:spacing w:val="-2"/>
        </w:rPr>
        <w:t xml:space="preserve"> </w:t>
      </w:r>
      <w:r>
        <w:t>businesses</w:t>
      </w:r>
    </w:p>
    <w:p w14:paraId="798CB282" w14:textId="77777777" w:rsidR="00CA70D2" w:rsidRDefault="00691BD8">
      <w:pPr>
        <w:pStyle w:val="BodyText"/>
        <w:spacing w:before="189" w:line="259" w:lineRule="auto"/>
        <w:ind w:left="400" w:right="481"/>
      </w:pPr>
      <w:r>
        <w:t>Information on dumpster use by single or multiple businesses was collected from 154 businesses in Bellevue, Kirkland, and Sammamish to learn whether the amount of businesses using one waste account affects site condition. Sites with multiple businesses were significantly more likely to have lids open (</w:t>
      </w:r>
      <w:r>
        <w:rPr>
          <w:i/>
        </w:rPr>
        <w:t>p=0.02</w:t>
      </w:r>
      <w:r>
        <w:t>) and significantly more likely to have containers that were leaking/damaged (</w:t>
      </w:r>
      <w:r>
        <w:rPr>
          <w:i/>
        </w:rPr>
        <w:t>p=0.02</w:t>
      </w:r>
      <w:r>
        <w:t>) compared to sites with a single business.</w:t>
      </w:r>
    </w:p>
    <w:p w14:paraId="25A9153F" w14:textId="77777777" w:rsidR="00CA70D2" w:rsidRDefault="00691BD8">
      <w:pPr>
        <w:pStyle w:val="BodyText"/>
        <w:spacing w:before="158" w:line="259" w:lineRule="auto"/>
        <w:ind w:left="399" w:right="241"/>
      </w:pPr>
      <w:r>
        <w:t>Notably, multiple-business sites had open lids in 39% of observations compared to 22% of single-business sites. Multiple- business sites had leaking/damaged containers in 23% of observations compared to 9% of single-business sites (Chart 3.1).</w:t>
      </w:r>
    </w:p>
    <w:p w14:paraId="62A0DAA4" w14:textId="77777777" w:rsidR="00CA70D2" w:rsidRDefault="00691BD8">
      <w:pPr>
        <w:pStyle w:val="BodyText"/>
        <w:spacing w:before="160" w:line="259" w:lineRule="auto"/>
        <w:ind w:left="400" w:right="325"/>
      </w:pPr>
      <w:r>
        <w:t>Average dumpster condition at multiple-business sites was 1.87 compared to an average condition of 1.60 at single- business sites.</w:t>
      </w:r>
    </w:p>
    <w:p w14:paraId="4FF0ADBA" w14:textId="77777777" w:rsidR="00CA70D2" w:rsidRDefault="00691BD8">
      <w:pPr>
        <w:pStyle w:val="BodyText"/>
        <w:spacing w:before="10"/>
        <w:rPr>
          <w:sz w:val="9"/>
        </w:rPr>
      </w:pPr>
      <w:r>
        <w:rPr>
          <w:noProof/>
        </w:rPr>
        <w:drawing>
          <wp:anchor distT="0" distB="0" distL="0" distR="0" simplePos="0" relativeHeight="3" behindDoc="0" locked="0" layoutInCell="1" allowOverlap="1" wp14:anchorId="409AD824" wp14:editId="0C797B0A">
            <wp:simplePos x="0" y="0"/>
            <wp:positionH relativeFrom="margin">
              <wp:align>center</wp:align>
            </wp:positionH>
            <wp:positionV relativeFrom="paragraph">
              <wp:posOffset>290195</wp:posOffset>
            </wp:positionV>
            <wp:extent cx="5876925" cy="353250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876925" cy="3532505"/>
                    </a:xfrm>
                    <a:prstGeom prst="rect">
                      <a:avLst/>
                    </a:prstGeom>
                  </pic:spPr>
                </pic:pic>
              </a:graphicData>
            </a:graphic>
            <wp14:sizeRelH relativeFrom="margin">
              <wp14:pctWidth>0</wp14:pctWidth>
            </wp14:sizeRelH>
            <wp14:sizeRelV relativeFrom="margin">
              <wp14:pctHeight>0</wp14:pctHeight>
            </wp14:sizeRelV>
          </wp:anchor>
        </w:drawing>
      </w:r>
    </w:p>
    <w:p w14:paraId="5F45A4D7" w14:textId="77777777" w:rsidR="00CA70D2" w:rsidRDefault="00CA70D2">
      <w:pPr>
        <w:rPr>
          <w:sz w:val="9"/>
        </w:rPr>
        <w:sectPr w:rsidR="00CA70D2">
          <w:pgSz w:w="12240" w:h="15840"/>
          <w:pgMar w:top="700" w:right="460" w:bottom="280" w:left="320" w:header="720" w:footer="720" w:gutter="0"/>
          <w:cols w:space="720"/>
        </w:sectPr>
      </w:pPr>
    </w:p>
    <w:p w14:paraId="0DD1B801" w14:textId="77777777" w:rsidR="00CA70D2" w:rsidRDefault="00691BD8">
      <w:pPr>
        <w:pStyle w:val="Heading1"/>
        <w:numPr>
          <w:ilvl w:val="0"/>
          <w:numId w:val="1"/>
        </w:numPr>
        <w:tabs>
          <w:tab w:val="left" w:pos="761"/>
        </w:tabs>
        <w:ind w:left="760" w:hanging="361"/>
      </w:pPr>
      <w:r>
        <w:t>Container</w:t>
      </w:r>
      <w:r>
        <w:rPr>
          <w:spacing w:val="1"/>
        </w:rPr>
        <w:t xml:space="preserve"> </w:t>
      </w:r>
      <w:r>
        <w:t>type</w:t>
      </w:r>
    </w:p>
    <w:p w14:paraId="418CC76B" w14:textId="77777777" w:rsidR="00CA70D2" w:rsidRDefault="00691BD8">
      <w:pPr>
        <w:pStyle w:val="BodyText"/>
        <w:spacing w:before="189" w:line="259" w:lineRule="auto"/>
        <w:ind w:left="399" w:right="327"/>
        <w:rPr>
          <w:i/>
        </w:rPr>
      </w:pPr>
      <w:r>
        <w:t xml:space="preserve">Information on whether a business had an oil container was collected at 148 businesses in Bellevue and Sammamish. Of those, 31 businesses had oil containers. Businesses with oil containers were almost equally likely as businesses without oil containers to have dumpster lids open. However, businesses with oil containers were significantly more likely (p </w:t>
      </w:r>
      <w:r>
        <w:rPr>
          <w:i/>
        </w:rPr>
        <w:t>&lt;</w:t>
      </w:r>
    </w:p>
    <w:p w14:paraId="50CB3188" w14:textId="06257001" w:rsidR="00CA70D2" w:rsidRDefault="00691BD8">
      <w:pPr>
        <w:pStyle w:val="BodyText"/>
        <w:spacing w:line="259" w:lineRule="auto"/>
        <w:ind w:left="399" w:right="314"/>
      </w:pPr>
      <w:r>
        <w:rPr>
          <w:i/>
        </w:rPr>
        <w:t>.01, n=148</w:t>
      </w:r>
      <w:r>
        <w:t>) to have containers that were leaking or damaged compared with businesses without oil containers (Chart 4.1). Businesses with oil containers had an average dumpster condition rating of 2.26 compared to an average of 1.56 at businesses without oil containers, representing a statistically signi</w:t>
      </w:r>
      <w:r w:rsidR="002A6399">
        <w:t>fi</w:t>
      </w:r>
      <w:r>
        <w:t xml:space="preserve">cant difference (p </w:t>
      </w:r>
      <w:r>
        <w:rPr>
          <w:i/>
        </w:rPr>
        <w:t>&lt; .01, n=148</w:t>
      </w:r>
      <w:r>
        <w:t>).</w:t>
      </w:r>
    </w:p>
    <w:p w14:paraId="1E380A32" w14:textId="77777777" w:rsidR="00CA70D2" w:rsidRDefault="00691BD8">
      <w:pPr>
        <w:pStyle w:val="BodyText"/>
        <w:spacing w:before="10"/>
        <w:rPr>
          <w:sz w:val="9"/>
        </w:rPr>
      </w:pPr>
      <w:r>
        <w:rPr>
          <w:noProof/>
        </w:rPr>
        <w:drawing>
          <wp:anchor distT="0" distB="0" distL="0" distR="0" simplePos="0" relativeHeight="4" behindDoc="0" locked="0" layoutInCell="1" allowOverlap="1" wp14:anchorId="57C595EA" wp14:editId="697C0FB5">
            <wp:simplePos x="0" y="0"/>
            <wp:positionH relativeFrom="margin">
              <wp:align>center</wp:align>
            </wp:positionH>
            <wp:positionV relativeFrom="paragraph">
              <wp:posOffset>384175</wp:posOffset>
            </wp:positionV>
            <wp:extent cx="5762625" cy="346265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762625" cy="3462655"/>
                    </a:xfrm>
                    <a:prstGeom prst="rect">
                      <a:avLst/>
                    </a:prstGeom>
                  </pic:spPr>
                </pic:pic>
              </a:graphicData>
            </a:graphic>
            <wp14:sizeRelH relativeFrom="margin">
              <wp14:pctWidth>0</wp14:pctWidth>
            </wp14:sizeRelH>
            <wp14:sizeRelV relativeFrom="margin">
              <wp14:pctHeight>0</wp14:pctHeight>
            </wp14:sizeRelV>
          </wp:anchor>
        </w:drawing>
      </w:r>
    </w:p>
    <w:p w14:paraId="66EBE732" w14:textId="77777777" w:rsidR="00CA70D2" w:rsidRDefault="00691BD8" w:rsidP="00C92D69">
      <w:pPr>
        <w:pStyle w:val="Heading1"/>
        <w:numPr>
          <w:ilvl w:val="0"/>
          <w:numId w:val="1"/>
        </w:numPr>
        <w:tabs>
          <w:tab w:val="left" w:pos="670"/>
        </w:tabs>
        <w:spacing w:before="360"/>
        <w:ind w:left="677" w:hanging="274"/>
      </w:pPr>
      <w:r>
        <w:t>Presence of proper labels</w:t>
      </w:r>
    </w:p>
    <w:p w14:paraId="03114A80" w14:textId="563DAA3A" w:rsidR="00CA70D2" w:rsidRDefault="00691BD8">
      <w:pPr>
        <w:pStyle w:val="BodyText"/>
        <w:spacing w:before="188" w:line="259" w:lineRule="auto"/>
        <w:ind w:left="400" w:right="490"/>
      </w:pPr>
      <w:r>
        <w:t>Of the 146 businesses for which label information was collected, 144 had proper labels displayed on the container. No further analysis was conducted based on presence of labels</w:t>
      </w:r>
      <w:r w:rsidR="00D20531">
        <w:t>,</w:t>
      </w:r>
      <w:r>
        <w:t xml:space="preserve"> due to lack of available data.</w:t>
      </w:r>
    </w:p>
    <w:p w14:paraId="4963C21A" w14:textId="77777777" w:rsidR="00CA70D2" w:rsidRPr="00C92D69" w:rsidRDefault="00691BD8">
      <w:pPr>
        <w:pStyle w:val="ListParagraph"/>
        <w:numPr>
          <w:ilvl w:val="0"/>
          <w:numId w:val="1"/>
        </w:numPr>
        <w:tabs>
          <w:tab w:val="left" w:pos="850"/>
        </w:tabs>
        <w:spacing w:before="159"/>
        <w:ind w:left="849" w:hanging="450"/>
        <w:rPr>
          <w:b/>
          <w:color w:val="25646E"/>
          <w:sz w:val="28"/>
          <w:szCs w:val="28"/>
        </w:rPr>
      </w:pPr>
      <w:r w:rsidRPr="00C92D69">
        <w:rPr>
          <w:b/>
          <w:color w:val="25646E"/>
          <w:sz w:val="28"/>
          <w:szCs w:val="28"/>
        </w:rPr>
        <w:t>Lid</w:t>
      </w:r>
      <w:r w:rsidRPr="00C92D69">
        <w:rPr>
          <w:b/>
          <w:color w:val="25646E"/>
          <w:spacing w:val="-2"/>
          <w:sz w:val="28"/>
          <w:szCs w:val="28"/>
        </w:rPr>
        <w:t xml:space="preserve"> </w:t>
      </w:r>
      <w:r w:rsidRPr="00C92D69">
        <w:rPr>
          <w:b/>
          <w:color w:val="25646E"/>
          <w:sz w:val="28"/>
          <w:szCs w:val="28"/>
        </w:rPr>
        <w:t>status</w:t>
      </w:r>
    </w:p>
    <w:p w14:paraId="717EBDE6" w14:textId="77777777" w:rsidR="00CA70D2" w:rsidRPr="00C92D69" w:rsidRDefault="00691BD8" w:rsidP="00C92D69">
      <w:pPr>
        <w:pStyle w:val="BodyText"/>
        <w:spacing w:before="180"/>
        <w:ind w:left="403"/>
      </w:pPr>
      <w:r w:rsidRPr="00C92D69">
        <w:t>Lid status was evaluated for 373 businesses to determine whether lids were open or closed. Open lids were observed at 128 businesses (34%). Businesses with open lids also had significantly worse (p &lt; 0.01, n=138) dumpster condition ratings than businesses with lids closed, indicating a higher degree of water quality concerns at containers with open lids.</w:t>
      </w:r>
    </w:p>
    <w:p w14:paraId="264802B6" w14:textId="77777777" w:rsidR="00CA70D2" w:rsidRDefault="00CA70D2">
      <w:pPr>
        <w:pStyle w:val="BodyText"/>
        <w:spacing w:before="10"/>
        <w:rPr>
          <w:sz w:val="25"/>
        </w:rPr>
      </w:pPr>
    </w:p>
    <w:p w14:paraId="339CD829" w14:textId="77777777" w:rsidR="00CA70D2" w:rsidRDefault="00691BD8">
      <w:pPr>
        <w:pStyle w:val="Heading1"/>
        <w:numPr>
          <w:ilvl w:val="0"/>
          <w:numId w:val="1"/>
        </w:numPr>
        <w:tabs>
          <w:tab w:val="left" w:pos="851"/>
        </w:tabs>
        <w:spacing w:before="0"/>
        <w:ind w:left="850" w:hanging="451"/>
      </w:pPr>
      <w:r>
        <w:t>Container status</w:t>
      </w:r>
    </w:p>
    <w:p w14:paraId="231D60C8" w14:textId="16B8548E" w:rsidR="00CA70D2" w:rsidRDefault="00691BD8">
      <w:pPr>
        <w:pStyle w:val="BodyText"/>
        <w:spacing w:before="189" w:line="259" w:lineRule="auto"/>
        <w:ind w:left="400" w:right="350"/>
      </w:pPr>
      <w:r>
        <w:t>Container status was evaluated for 391 businesses to determine whether containers were leaking or damaged. Leaking/damaged containers were observed at 47 businesses (12%). The average dumpster condition at containers that were leak and damage free was 1.57</w:t>
      </w:r>
      <w:r w:rsidR="00D20531">
        <w:t>,</w:t>
      </w:r>
      <w:r>
        <w:t xml:space="preserve"> and the average condition at containers with leaks and/or damage was 2.48, representing a statistically significant difference.</w:t>
      </w:r>
    </w:p>
    <w:sectPr w:rsidR="00CA70D2">
      <w:pgSz w:w="12240" w:h="15840"/>
      <w:pgMar w:top="700" w:right="46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5147" w14:textId="77777777" w:rsidR="00C92D69" w:rsidRDefault="00C92D69" w:rsidP="00C92D69">
      <w:r>
        <w:separator/>
      </w:r>
    </w:p>
  </w:endnote>
  <w:endnote w:type="continuationSeparator" w:id="0">
    <w:p w14:paraId="402D6659" w14:textId="77777777" w:rsidR="00C92D69" w:rsidRDefault="00C92D69" w:rsidP="00C9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4F54" w14:textId="67CCFA18" w:rsidR="00C92D69" w:rsidRDefault="00C92D69" w:rsidP="00C92D69">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B98E" w14:textId="77777777" w:rsidR="00C92D69" w:rsidRDefault="00C92D69" w:rsidP="00C92D69">
      <w:r>
        <w:separator/>
      </w:r>
    </w:p>
  </w:footnote>
  <w:footnote w:type="continuationSeparator" w:id="0">
    <w:p w14:paraId="411B0395" w14:textId="77777777" w:rsidR="00C92D69" w:rsidRDefault="00C92D69" w:rsidP="00C92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A75FB"/>
    <w:multiLevelType w:val="hybridMultilevel"/>
    <w:tmpl w:val="F87EC048"/>
    <w:lvl w:ilvl="0" w:tplc="101093D6">
      <w:start w:val="1"/>
      <w:numFmt w:val="upperRoman"/>
      <w:lvlText w:val="%1."/>
      <w:lvlJc w:val="left"/>
      <w:pPr>
        <w:ind w:left="669" w:hanging="270"/>
      </w:pPr>
      <w:rPr>
        <w:rFonts w:hint="default"/>
        <w:b/>
        <w:bCs/>
        <w:spacing w:val="-1"/>
        <w:w w:val="99"/>
        <w:lang w:val="en-US" w:eastAsia="en-US" w:bidi="ar-SA"/>
      </w:rPr>
    </w:lvl>
    <w:lvl w:ilvl="1" w:tplc="08CCF394">
      <w:numFmt w:val="bullet"/>
      <w:lvlText w:val=""/>
      <w:lvlJc w:val="left"/>
      <w:pPr>
        <w:ind w:left="1120" w:hanging="360"/>
      </w:pPr>
      <w:rPr>
        <w:rFonts w:ascii="Symbol" w:eastAsia="Symbol" w:hAnsi="Symbol" w:cs="Symbol" w:hint="default"/>
        <w:w w:val="99"/>
        <w:sz w:val="22"/>
        <w:szCs w:val="22"/>
        <w:lang w:val="en-US" w:eastAsia="en-US" w:bidi="ar-SA"/>
      </w:rPr>
    </w:lvl>
    <w:lvl w:ilvl="2" w:tplc="09CAC7C2">
      <w:numFmt w:val="bullet"/>
      <w:lvlText w:val="•"/>
      <w:lvlJc w:val="left"/>
      <w:pPr>
        <w:ind w:left="2268" w:hanging="360"/>
      </w:pPr>
      <w:rPr>
        <w:rFonts w:hint="default"/>
        <w:lang w:val="en-US" w:eastAsia="en-US" w:bidi="ar-SA"/>
      </w:rPr>
    </w:lvl>
    <w:lvl w:ilvl="3" w:tplc="0ED09956">
      <w:numFmt w:val="bullet"/>
      <w:lvlText w:val="•"/>
      <w:lvlJc w:val="left"/>
      <w:pPr>
        <w:ind w:left="3417" w:hanging="360"/>
      </w:pPr>
      <w:rPr>
        <w:rFonts w:hint="default"/>
        <w:lang w:val="en-US" w:eastAsia="en-US" w:bidi="ar-SA"/>
      </w:rPr>
    </w:lvl>
    <w:lvl w:ilvl="4" w:tplc="050C1666">
      <w:numFmt w:val="bullet"/>
      <w:lvlText w:val="•"/>
      <w:lvlJc w:val="left"/>
      <w:pPr>
        <w:ind w:left="4566" w:hanging="360"/>
      </w:pPr>
      <w:rPr>
        <w:rFonts w:hint="default"/>
        <w:lang w:val="en-US" w:eastAsia="en-US" w:bidi="ar-SA"/>
      </w:rPr>
    </w:lvl>
    <w:lvl w:ilvl="5" w:tplc="C12058B8">
      <w:numFmt w:val="bullet"/>
      <w:lvlText w:val="•"/>
      <w:lvlJc w:val="left"/>
      <w:pPr>
        <w:ind w:left="5715" w:hanging="360"/>
      </w:pPr>
      <w:rPr>
        <w:rFonts w:hint="default"/>
        <w:lang w:val="en-US" w:eastAsia="en-US" w:bidi="ar-SA"/>
      </w:rPr>
    </w:lvl>
    <w:lvl w:ilvl="6" w:tplc="0338B724">
      <w:numFmt w:val="bullet"/>
      <w:lvlText w:val="•"/>
      <w:lvlJc w:val="left"/>
      <w:pPr>
        <w:ind w:left="6864" w:hanging="360"/>
      </w:pPr>
      <w:rPr>
        <w:rFonts w:hint="default"/>
        <w:lang w:val="en-US" w:eastAsia="en-US" w:bidi="ar-SA"/>
      </w:rPr>
    </w:lvl>
    <w:lvl w:ilvl="7" w:tplc="58A63426">
      <w:numFmt w:val="bullet"/>
      <w:lvlText w:val="•"/>
      <w:lvlJc w:val="left"/>
      <w:pPr>
        <w:ind w:left="8013" w:hanging="360"/>
      </w:pPr>
      <w:rPr>
        <w:rFonts w:hint="default"/>
        <w:lang w:val="en-US" w:eastAsia="en-US" w:bidi="ar-SA"/>
      </w:rPr>
    </w:lvl>
    <w:lvl w:ilvl="8" w:tplc="088C297A">
      <w:numFmt w:val="bullet"/>
      <w:lvlText w:val="•"/>
      <w:lvlJc w:val="left"/>
      <w:pPr>
        <w:ind w:left="916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D2"/>
    <w:rsid w:val="002A6399"/>
    <w:rsid w:val="003E6917"/>
    <w:rsid w:val="00691BD8"/>
    <w:rsid w:val="00747E4A"/>
    <w:rsid w:val="009D372B"/>
    <w:rsid w:val="00C92D69"/>
    <w:rsid w:val="00CA70D2"/>
    <w:rsid w:val="00D20531"/>
    <w:rsid w:val="00E30E99"/>
    <w:rsid w:val="00E4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721E"/>
  <w15:docId w15:val="{08885475-918E-4B03-A827-FCFE6357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C92D69"/>
    <w:pPr>
      <w:spacing w:before="19"/>
      <w:ind w:left="669" w:hanging="361"/>
      <w:outlineLvl w:val="0"/>
    </w:pPr>
    <w:rPr>
      <w:b/>
      <w:bCs/>
      <w:color w:val="25646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19" w:hanging="360"/>
    </w:pPr>
  </w:style>
  <w:style w:type="paragraph" w:customStyle="1" w:styleId="TableParagraph">
    <w:name w:val="Table Paragraph"/>
    <w:basedOn w:val="Normal"/>
    <w:uiPriority w:val="1"/>
    <w:qFormat/>
    <w:pPr>
      <w:spacing w:before="13" w:line="260" w:lineRule="exact"/>
      <w:jc w:val="center"/>
    </w:pPr>
  </w:style>
  <w:style w:type="paragraph" w:styleId="Header">
    <w:name w:val="header"/>
    <w:basedOn w:val="Normal"/>
    <w:link w:val="HeaderChar"/>
    <w:uiPriority w:val="99"/>
    <w:unhideWhenUsed/>
    <w:rsid w:val="00C92D69"/>
    <w:pPr>
      <w:tabs>
        <w:tab w:val="center" w:pos="4680"/>
        <w:tab w:val="right" w:pos="9360"/>
      </w:tabs>
    </w:pPr>
  </w:style>
  <w:style w:type="character" w:customStyle="1" w:styleId="HeaderChar">
    <w:name w:val="Header Char"/>
    <w:basedOn w:val="DefaultParagraphFont"/>
    <w:link w:val="Header"/>
    <w:uiPriority w:val="99"/>
    <w:rsid w:val="00C92D69"/>
    <w:rPr>
      <w:rFonts w:ascii="Calibri" w:eastAsia="Calibri" w:hAnsi="Calibri" w:cs="Calibri"/>
    </w:rPr>
  </w:style>
  <w:style w:type="paragraph" w:styleId="Footer">
    <w:name w:val="footer"/>
    <w:basedOn w:val="Normal"/>
    <w:link w:val="FooterChar"/>
    <w:uiPriority w:val="99"/>
    <w:unhideWhenUsed/>
    <w:rsid w:val="00C92D69"/>
    <w:pPr>
      <w:tabs>
        <w:tab w:val="center" w:pos="4680"/>
        <w:tab w:val="right" w:pos="9360"/>
      </w:tabs>
    </w:pPr>
  </w:style>
  <w:style w:type="character" w:customStyle="1" w:styleId="FooterChar">
    <w:name w:val="Footer Char"/>
    <w:basedOn w:val="DefaultParagraphFont"/>
    <w:link w:val="Footer"/>
    <w:uiPriority w:val="99"/>
    <w:rsid w:val="00C92D6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878F5693BE546909E742522C49650" ma:contentTypeVersion="11" ma:contentTypeDescription="Create a new document." ma:contentTypeScope="" ma:versionID="6b389a1da68a491fe8378c74e14f7c06">
  <xsd:schema xmlns:xsd="http://www.w3.org/2001/XMLSchema" xmlns:xs="http://www.w3.org/2001/XMLSchema" xmlns:p="http://schemas.microsoft.com/office/2006/metadata/properties" xmlns:ns2="4e8584cf-3eb0-49cb-9e2e-1c0759317580" targetNamespace="http://schemas.microsoft.com/office/2006/metadata/properties" ma:root="true" ma:fieldsID="e261cfca76ca49f699f6c8c56e008a4d" ns2:_="">
    <xsd:import namespace="4e8584cf-3eb0-49cb-9e2e-1c0759317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584cf-3eb0-49cb-9e2e-1c0759317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0FF83-A85C-4F9D-809F-5565690F4AE9}"/>
</file>

<file path=customXml/itemProps2.xml><?xml version="1.0" encoding="utf-8"?>
<ds:datastoreItem xmlns:ds="http://schemas.openxmlformats.org/officeDocument/2006/customXml" ds:itemID="{1D37C84A-54F8-4862-8488-62615088AE16}"/>
</file>

<file path=customXml/itemProps3.xml><?xml version="1.0" encoding="utf-8"?>
<ds:datastoreItem xmlns:ds="http://schemas.openxmlformats.org/officeDocument/2006/customXml" ds:itemID="{F6649F8F-B803-4945-B5D6-205B97D56528}"/>
</file>

<file path=docProps/app.xml><?xml version="1.0" encoding="utf-8"?>
<Properties xmlns="http://schemas.openxmlformats.org/officeDocument/2006/extended-properties" xmlns:vt="http://schemas.openxmlformats.org/officeDocument/2006/docPropsVTypes">
  <Template>Normal</Template>
  <TotalTime>3</TotalTime>
  <Pages>5</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Olympia</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Hussmann</dc:creator>
  <cp:lastModifiedBy>Susan McCleary</cp:lastModifiedBy>
  <cp:revision>3</cp:revision>
  <dcterms:created xsi:type="dcterms:W3CDTF">2021-02-02T22:40:00Z</dcterms:created>
  <dcterms:modified xsi:type="dcterms:W3CDTF">2021-12-28T22:41:00Z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Acrobat PDFMaker 19 for Word</vt:lpwstr>
  </property>
  <property fmtid="{D5CDD505-2E9C-101B-9397-08002B2CF9AE}" pid="4" name="LastSaved">
    <vt:filetime>2020-12-16T00:00:00Z</vt:filetime>
  </property>
  <property fmtid="{D5CDD505-2E9C-101B-9397-08002B2CF9AE}" pid="5" name="ContentTypeId">
    <vt:lpwstr>0x010100F50878F5693BE546909E742522C49650</vt:lpwstr>
  </property>
</Properties>
</file>